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7E8" w:rsidRDefault="007F17E8" w:rsidP="00965308"/>
    <w:p w:rsidR="00965308" w:rsidRPr="00965308" w:rsidRDefault="00965308" w:rsidP="009653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b/>
          <w:sz w:val="28"/>
          <w:szCs w:val="28"/>
        </w:rPr>
        <w:t>Информация о поддержке малого и среднего</w:t>
      </w:r>
    </w:p>
    <w:p w:rsidR="00965308" w:rsidRPr="00965308" w:rsidRDefault="00965308" w:rsidP="0096530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b/>
          <w:sz w:val="28"/>
          <w:szCs w:val="28"/>
        </w:rPr>
        <w:t>предпринимательства в Саратовской области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65308" w:rsidRPr="00965308" w:rsidRDefault="00965308" w:rsidP="0096530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Субъектам малого и среднего предпринимательства области оказываются (далее – субъекты МСП) все виды государственной поддержки, предусмотренные Федеральным законом от 24 июля 2007 года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№ 209-ФЗ «О развитии малого и среднего предпринимательства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>в Российской Федерации»: финансовая, имущественная, информационная, образовательная, консультационная и иные виды поддержки.</w:t>
      </w:r>
    </w:p>
    <w:p w:rsidR="00965308" w:rsidRPr="00965308" w:rsidRDefault="00965308" w:rsidP="009653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Министерством экономического развития области ежегодно реализуется комплекс мероприятий, направленных на поддержку зарегистрированных в установленном порядке субъектов МСП – индивидуальных предпринимателей и юридических лиц,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>предусмотренный государственной программой Саратовской области «Развитие экономического потенциала и повышение инвестиционной привлекательности региона», утвержденной постановлением Правительства Саратовской области от 11 октября 2013 года № 546-П.</w:t>
      </w:r>
    </w:p>
    <w:p w:rsidR="00965308" w:rsidRPr="00965308" w:rsidRDefault="00965308" w:rsidP="009653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65308">
        <w:rPr>
          <w:rFonts w:ascii="Times New Roman" w:eastAsia="Times New Roman" w:hAnsi="Times New Roman" w:cs="Times New Roman"/>
          <w:sz w:val="28"/>
          <w:szCs w:val="28"/>
          <w:u w:val="single"/>
        </w:rPr>
        <w:t>Финансовая поддержка: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В целях обеспечения доступа к льготному кредитованию субъектов МСП работает НМК «Фонд микрокредитования субъектов малого предпринимательства Саратовской области» (далее – Фонд микрокредитования). Фонд микрокредитования предоставляет займы начинающим и действующим предпринимателям, самозанятым гражданам под 2,75 – 5,5% годовых, в том числе под поручительство и залог имущества. Размер займа одному заемщику составляет не более 5 млн. рублей. Фонд микрокредитования располагается по адресу: 410012, г. Саратов, ул. Краевая, д. 85, тел. (845-2) 75-64-11; 75-64-12, факс 75-64-13, </w:t>
      </w:r>
      <w:hyperlink r:id="rId6" w:history="1">
        <w:r w:rsidRPr="0096530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</w:t>
        </w:r>
        <w:r w:rsidRPr="0096530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s</w:t>
        </w:r>
        <w:r w:rsidRPr="0096530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://www.fmco.ru/</w:t>
        </w:r>
      </w:hyperlink>
      <w:r w:rsidRPr="00965308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.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В случае недостаточности собственного залогового обеспечения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при привлечении заемных средств субъекты малого предпринимательства могут воспользоваться услугами АО «Гарантийный фонд для субъектов малого предпринимательства Саратовской области» (далее – Гарантийный фонд), предоставляющего гарантии по возврату части (до 50%) привлеченных субъектами малого предпринимательства банковских кредитов для реализации проектов. Максимальный размер поручительства Гарантийного фонда – до 25 млн. рублей на одного получателя в зависимости от финансового положения заемщика. Гарантийный фонд располагается по адресу: 410012, г. Саратов, ул. Краевая, д. 85, тел. (845-2) 75-34-15, 75-34-11, </w:t>
      </w:r>
      <w:r w:rsidRPr="00965308">
        <w:rPr>
          <w:rFonts w:ascii="Times New Roman" w:eastAsia="Times New Roman" w:hAnsi="Times New Roman" w:cs="Times New Roman"/>
          <w:sz w:val="28"/>
          <w:szCs w:val="28"/>
          <w:lang w:val="en-US"/>
        </w:rPr>
        <w:t>https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t>://</w:t>
      </w:r>
      <w:hyperlink r:id="rId7" w:history="1">
        <w:r w:rsidRPr="00965308">
          <w:rPr>
            <w:rFonts w:ascii="Times New Roman" w:eastAsia="Times New Roman" w:hAnsi="Times New Roman" w:cs="Times New Roman"/>
            <w:sz w:val="28"/>
            <w:szCs w:val="28"/>
          </w:rPr>
          <w:t>saratovgarantfond.ru</w:t>
        </w:r>
      </w:hyperlink>
      <w:r w:rsidRPr="0096530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На федеральном уровне АО «Федеральная корпорация по развитию малого и среднего предпринимательства» (далее – Корпорация МСП)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и Минэкономразвития России реализуются следующие программы льготного кредитования малого и среднего бизнеса (для юридических лиц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>и индивидуальных предпринимателей):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- Программа Корпорации МСП: 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кредиты предоставляются уполномоченными банками субъектам МСП, в том числе индивидуальным предпринимателям, на реализацию проектов по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lastRenderedPageBreak/>
        <w:t>ставке 8,5% годовых. Размер кредита: от 3 млн. рублей до 1 млрд. рублей (общий кредитный лимит на заемщика - до 4 млрд. рублей).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Участие в Программе в настоящее время принимают 62 крупнейших российских банка, из них 14 кредитных организаций, действующих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на территории области: АО «АЛЬФА-БАНК», Банк ВТБ (ПАО), Банк ГПБ (АО), ПАО «Промсвязьбанк», АО «Райффайзенбанк», ПАО РОСБАНК,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АО «Россельхозбанк», ПАО Сбербанк,  ПАО Банк «ЗЕНИТ»,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>АО «Банк Интеза», ПАО «АК БАРС» Банк, ПАО «Совкомбанк», ПАО Банк «ФК Открытие», ПАО «Банк Уралсиб».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Более подробная информация на сайте Корпорации МСП </w:t>
      </w:r>
      <w:hyperlink r:id="rId8" w:history="1">
        <w:r w:rsidRPr="00965308">
          <w:rPr>
            <w:rFonts w:ascii="Times New Roman" w:eastAsia="Times New Roman" w:hAnsi="Times New Roman" w:cs="Times New Roman"/>
            <w:sz w:val="28"/>
            <w:szCs w:val="28"/>
          </w:rPr>
          <w:t>https://corpmsp.ru/bankam/programma_stimulir/</w:t>
        </w:r>
      </w:hyperlink>
      <w:r w:rsidRPr="0096530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>- Программа Минэкономразвития России:</w:t>
      </w:r>
    </w:p>
    <w:p w:rsidR="00965308" w:rsidRPr="00965308" w:rsidRDefault="00965308" w:rsidP="0096530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30 декабря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2018 года № 1764 утверждены Правила предоставления субсидий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из федерального бюджета российским кредитным организациям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на возмещение недополученных ими доходов по кредитам, выданным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в 2019-2024 годах субъектам малого и среднего предпринимательства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по льготной ставке. </w:t>
      </w:r>
    </w:p>
    <w:p w:rsidR="00965308" w:rsidRPr="00965308" w:rsidRDefault="00965308" w:rsidP="0096530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>Кредиты субъектам МСП, осуществляющим приоритетные виды деятельности, предоставляются:</w:t>
      </w:r>
    </w:p>
    <w:p w:rsidR="00965308" w:rsidRPr="00965308" w:rsidRDefault="00965308" w:rsidP="0096530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на инвестиционные цели: от 500 тыс. рублей до 200 млн. рублей - для субъектов МСП, относящихся к категории «микропредприятие», до 500 млн. рублей – для субъектов МСП, относящихся к категории «малое предприятие», до 2 млрд. рублей – для субъектов МСП, относящихся к категории «среднее предприятие», на срок до 10 лет (с непрерывным предоставлением субсидии не более 5 лет); </w:t>
      </w:r>
    </w:p>
    <w:p w:rsidR="00965308" w:rsidRPr="00965308" w:rsidRDefault="00965308" w:rsidP="009653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на пополнение оборотных средств: от 500 тыс. до 200 млн. рублей – для субъектов МСП, относящихся к категории «микропредприятие», до 500 млн. рублей – для субъектов МСП, относящихся к категории «малое предприятие», «среднее предприятие», на срок до 1 года; </w:t>
      </w:r>
    </w:p>
    <w:p w:rsidR="00965308" w:rsidRPr="00965308" w:rsidRDefault="00965308" w:rsidP="0096530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>на рефинансирование кредита на инвестиционные цели - процентная ставка до 8,25%;</w:t>
      </w:r>
    </w:p>
    <w:p w:rsidR="00965308" w:rsidRPr="00965308" w:rsidRDefault="00965308" w:rsidP="0096530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>на развитие предпринимательской деятельности - до 10 млн. рублей на срок до 5 лет по ставке 9,95 % годовых.</w:t>
      </w:r>
    </w:p>
    <w:p w:rsidR="00965308" w:rsidRPr="00965308" w:rsidRDefault="00965308" w:rsidP="0096530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Участие в Программе принимают 18 уполномоченных банков, действующих на территории Саратовской области: ПАО «Промсвязьбанк»,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АО «АЛЬФА-БАНК», АО «Райффайзенбанк», ПАО РОСБАНК,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АО «Россельхозбанк», ПАО Сбербанк, ПАО «Совкомбанк»,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Банк ВТБ (ПАО), ПАО «АК БАРС» Банк, Банк Газпромбанк (АО),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АО «Банк Интеза», ООО «Банк Саратов», АО «СМП Банк»,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АО «АБ «РОССИЯ», ПАО Банк «ФК Открытие», ПАО «МТС-Банк»,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>АО «Банк ДОМ.РФ», ПАО Банк «ЗЕНИТ».</w:t>
      </w:r>
    </w:p>
    <w:p w:rsidR="00965308" w:rsidRPr="00965308" w:rsidRDefault="00965308" w:rsidP="00965308">
      <w:pPr>
        <w:spacing w:after="0" w:line="240" w:lineRule="auto"/>
        <w:ind w:right="8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965308">
        <w:rPr>
          <w:rFonts w:ascii="Times New Roman" w:eastAsia="Times New Roman" w:hAnsi="Times New Roman" w:cs="Times New Roman"/>
          <w:sz w:val="28"/>
          <w:szCs w:val="28"/>
          <w:u w:val="single"/>
        </w:rPr>
        <w:t>Имущественная поддержка оказывается субъектам МСП в виде:</w:t>
      </w:r>
    </w:p>
    <w:p w:rsidR="00965308" w:rsidRPr="00965308" w:rsidRDefault="00965308" w:rsidP="00965308">
      <w:pPr>
        <w:tabs>
          <w:tab w:val="left" w:pos="993"/>
        </w:tabs>
        <w:spacing w:after="0" w:line="240" w:lineRule="auto"/>
        <w:ind w:right="8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>-льготных ставок арендной платы за офисные и производственные помещения. Поддержку субъекты МСП могут получить в ООО «Бизнес-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инкубатор Саратовской области» (далее – Областной бизнес-инкубатор)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и МАУ «Бизнес-инкубатор Балаковского муниципального района».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Стать резидентом бизнес-инкубатора может субъект малого предпринимательства, действующий менее 3 лет, на конкурсной основе. </w:t>
      </w:r>
      <w:r w:rsidRPr="0096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Максимальный срок предоставления помещений бизнес-инкубатора </w:t>
      </w:r>
      <w:r w:rsidRPr="0096530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br/>
        <w:t>в аренду - 3 года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65308" w:rsidRPr="00965308" w:rsidRDefault="00965308" w:rsidP="00965308">
      <w:pPr>
        <w:tabs>
          <w:tab w:val="left" w:pos="993"/>
        </w:tabs>
        <w:spacing w:after="0" w:line="240" w:lineRule="auto"/>
        <w:ind w:right="8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-льготных ставок арендной платы за пользование имуществом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>из перечней государственного и муниципального имущества.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  <w:u w:val="single"/>
        </w:rPr>
        <w:t>Комплекс образовательной, информационной, консультационной поддержки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 на безвозмездной и льготной основе оказывает Центр предпринимателя «Мой бизнес» (далее – ЦП «Мой бизнес»). На площадке ЦП «Мой бизнес» сегодня находятся: имущественный комплекс Областного бизнес-инкубатора, Центр поддержки предпринимательства (далее – ЦПП)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и Региональный центр инжиниринга (далее – РЦИ) как структурные подразделения Областного бизнес-инкубатора, Гарантийный фонд,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>Фонд микрокредитования, НО «Фонд содействия развитию венчурных инвестиций в малые предприятия в научно-технической сфере Саратовской области» (далее – Венчурный фонд), 5 бизнес-окон ГАУ СО «МФЦ».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ЦПП оказывает комплекс информационно-консультационных, образовательных услуг субъектам малого и среднего предпринимательства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>и физическим лицам, заинтересованным в начале осуществления предпринимательской деятельности, в том числе по вопросам начала ведения собственного дела, финансового планирования, маркетингового сопровождения деятельности и бизнес-планирования, патентно-лицензионного сопровождения и другие услуги.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РЦИ оказывает услуги по разработке технической, проектной или конструкторской документации для производства новой или модернизированной продукции, проведению технологического аудита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и разработке программы модернизации производства, подготовке технико-экономического обоснования проекта и бизнес-плана для привлечения заемного и инвестиционного финансирования, оказанию содействия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>в получении разрешительной документации (сертификация, декларирование, аттестация, иные услуги), проведению маркетинговых исследований, разработке фирменного стиля и другие услуги.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ЦП «Мой бизнес» располагается по адресу: 410012, г. Саратов,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ул. Краевая, д. 85, тел. (845-2) 24-54-78, </w:t>
      </w:r>
      <w:r w:rsidRPr="00965308">
        <w:rPr>
          <w:rFonts w:ascii="Times New Roman" w:eastAsia="Times New Roman" w:hAnsi="Times New Roman" w:cs="Times New Roman"/>
          <w:sz w:val="28"/>
          <w:szCs w:val="28"/>
          <w:lang w:val="en-US"/>
        </w:rPr>
        <w:t>http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t>://</w:t>
      </w:r>
      <w:hyperlink r:id="rId9" w:history="1">
        <w:r w:rsidRPr="0096530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www.saratov-bi</w:t>
        </w:r>
        <w:r w:rsidRPr="0096530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s</w:t>
        </w:r>
        <w:r w:rsidRPr="0096530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.ru</w:t>
        </w:r>
      </w:hyperlink>
      <w:r w:rsidRPr="0096530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6530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Для привлечения федерального финансирования специалисты Венчурного фонда оказывают консультирование, помощь в «упаковке» проектов и (или) подготовке заявок малых инновационных компаний по программам </w:t>
      </w:r>
      <w:r w:rsidRPr="009653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ФГБУ «Фонд содействия развитию малых форм предприятий </w:t>
      </w:r>
      <w:r w:rsidRPr="00965308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в научно-технической сфере» (далее – ФСИ)</w:t>
      </w:r>
      <w:r w:rsidRPr="00965308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6530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2018 году Венчурный фонд получил статус аккредитованной компании, реализующей преакселерационную программу для грантополучателей программы «УМНИК» ФСИ. Преакселерационная программа Венчурного фонда направлена на комплексную поддержку и </w:t>
      </w:r>
      <w:r w:rsidRPr="00965308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сопровождение молодых ученых и инноваторов. Основная задача – оказание консультационных услуг, связанных с проработкой перспектив коммерческого использования результатов научно-исследовательских работ, выполняемых в рамках программы «УМНИК».</w:t>
      </w:r>
    </w:p>
    <w:p w:rsidR="00965308" w:rsidRPr="00965308" w:rsidRDefault="00965308" w:rsidP="0096530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6530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Венчурный фонд располагается по адресу: г. Саратов, ул. Краевая, д. 85, офис 304, тел. (845-2) 75-64-03, эл. почта: </w:t>
      </w:r>
      <w:hyperlink r:id="rId10" w:history="1">
        <w:r w:rsidRPr="00965308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en-US"/>
          </w:rPr>
          <w:t>info@fsimp.ru</w:t>
        </w:r>
      </w:hyperlink>
      <w:r w:rsidRPr="00965308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965308" w:rsidRPr="00965308" w:rsidRDefault="00965308" w:rsidP="0096530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65308">
        <w:rPr>
          <w:rFonts w:ascii="Times New Roman" w:eastAsia="Calibri" w:hAnsi="Times New Roman" w:cs="Times New Roman"/>
          <w:bCs/>
          <w:sz w:val="28"/>
          <w:szCs w:val="28"/>
        </w:rPr>
        <w:t xml:space="preserve">С 2016 года в целях сохранения и развития на территории региона традиционных народных художественных промыслов </w:t>
      </w:r>
      <w:r w:rsidRPr="00965308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t xml:space="preserve">(керамика, резьба </w:t>
      </w:r>
      <w:r w:rsidRPr="00965308"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  <w:br/>
        <w:t>и роспись по дереву),</w:t>
      </w:r>
      <w:r w:rsidRPr="00965308">
        <w:rPr>
          <w:rFonts w:ascii="Times New Roman" w:eastAsia="Calibri" w:hAnsi="Times New Roman" w:cs="Times New Roman"/>
          <w:bCs/>
          <w:sz w:val="28"/>
          <w:szCs w:val="28"/>
        </w:rPr>
        <w:t xml:space="preserve"> объединения предпринимателей-ремесленников </w:t>
      </w:r>
      <w:r w:rsidRPr="00965308">
        <w:rPr>
          <w:rFonts w:ascii="Times New Roman" w:eastAsia="Calibri" w:hAnsi="Times New Roman" w:cs="Times New Roman"/>
          <w:bCs/>
          <w:sz w:val="28"/>
          <w:szCs w:val="28"/>
        </w:rPr>
        <w:br/>
        <w:t>в единое сообщество действует АНО «</w:t>
      </w:r>
      <w:r w:rsidRPr="009653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Палата ремесел Саратовской области» (далее – Палата ремесел). </w:t>
      </w:r>
      <w:r w:rsidRPr="00965308">
        <w:rPr>
          <w:rFonts w:ascii="Times New Roman" w:eastAsia="Calibri" w:hAnsi="Times New Roman" w:cs="Times New Roman"/>
          <w:bCs/>
          <w:sz w:val="28"/>
          <w:szCs w:val="28"/>
        </w:rPr>
        <w:t xml:space="preserve">Палата ремесел организует </w:t>
      </w:r>
      <w:r w:rsidRPr="0096530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участие саратовских ремесленников на крупных российских и международных выставочных площадках, проводит консультации и реализует программы обучения.</w:t>
      </w:r>
    </w:p>
    <w:p w:rsidR="00965308" w:rsidRPr="00965308" w:rsidRDefault="00965308" w:rsidP="00965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65308">
        <w:rPr>
          <w:rFonts w:ascii="Times New Roman" w:eastAsia="Times New Roman" w:hAnsi="Times New Roman" w:cs="Times New Roman"/>
          <w:sz w:val="28"/>
          <w:szCs w:val="28"/>
        </w:rPr>
        <w:t>Также на территории области</w:t>
      </w:r>
      <w:r w:rsidRPr="0096530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действует </w:t>
      </w:r>
      <w:r w:rsidRPr="00965308">
        <w:rPr>
          <w:rFonts w:ascii="Times New Roman" w:eastAsia="Times New Roman" w:hAnsi="Times New Roman" w:cs="Times New Roman"/>
          <w:color w:val="000000"/>
          <w:sz w:val="28"/>
          <w:szCs w:val="28"/>
        </w:rPr>
        <w:t>АНО «Центр поддержки экспорта Саратовской области» (далее – ЦПЭ),</w:t>
      </w:r>
      <w:r w:rsidRPr="0096530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представляющая «единое окно» для работы с экспортерами в области финансовых и нефинансовых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 xml:space="preserve">мер поддержки. ЦПЭ обеспечивает проведение экспертизы внешнеэкономических проектов и сделок, проведение маркетинговых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br/>
        <w:t>и патентных исследований иностранных рынков, организацию и проведение межрегиональных и международных бизнес-миссий, обучение по тематике внешнеэкономической деятельности.</w:t>
      </w:r>
    </w:p>
    <w:p w:rsidR="00965308" w:rsidRPr="00965308" w:rsidRDefault="00965308" w:rsidP="00965308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Региональными законодательными актами предусмотрены следующие налоговые преференции в сфере развития малого предпринимательства области:</w:t>
      </w:r>
    </w:p>
    <w:p w:rsidR="00965308" w:rsidRPr="00965308" w:rsidRDefault="00965308" w:rsidP="00965308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двухлетние «налоговые каникулы» по упрощенной и патентной системам налогообложения для впервые зарегистрированных индивидуальных предпринимателей, осуществляющих деятельность 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br/>
        <w:t xml:space="preserve">в производственной, научной и социальной сферах, сфере бытовых услуг населению, услуг по предоставлению мест для временного проживания (Закон Саратовской области от 28 апреля 2015 года № 57-ЗСО 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br/>
        <w:t>«Об установлении налоговой ставки в размере 0 процентов для отдельных категорий налогоплательщиков при применении упрощенной и (или) патентной систем (системы) налогообложения на территории Саратовской области»). «Нулевая ставка» установлена по 101 виду деятельности патентной и упрощенной систем налогообложения и действует до 31 декабря 2023 года;</w:t>
      </w:r>
    </w:p>
    <w:p w:rsidR="00965308" w:rsidRPr="00965308" w:rsidRDefault="00965308" w:rsidP="00965308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>патентная система налогообложения по 98 видам предпринимательской деятельности (Закон Саратовской области от 13 ноября 2012 года № 167-ЗСО «О введении на территории Саратовской области патентной системы налогообложения»). Цена на патенты для предпринимателей дифференцирована по пяти группам муниципальных образований области;</w:t>
      </w:r>
    </w:p>
    <w:p w:rsidR="00965308" w:rsidRPr="00965308" w:rsidRDefault="00965308" w:rsidP="00965308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пониженные налоговые ставки по упрощенной системе налогообложения для 12 видов экономической деятельности, в том числе 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br/>
        <w:t xml:space="preserve">в сфере автоперевозок, общественного питания, гостиничного бизнеса, туризма, культуры, досуга и спорта, а также для резидентов территории 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lastRenderedPageBreak/>
        <w:t>опережающего социально-экономического развития и особой экономической зоны - 2% вместо 6%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 с базой «доходы» 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и 7,5% вместо 15%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t xml:space="preserve"> с базой «доходы минус расходы»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(Закон Саратовской области от 25 ноября 2015 года 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br/>
        <w:t>№ 152-ЗСО «Об установлении дифференцированных налоговых ставок при применении упрощенной системы налогообложения для отдельных категорий налогоплательщиков на территории Саратовской области»);</w:t>
      </w:r>
    </w:p>
    <w:p w:rsidR="00965308" w:rsidRPr="00965308" w:rsidRDefault="00965308" w:rsidP="00965308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</w:pP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освобождение от уплаты налога на имущество организаций 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br/>
        <w:t xml:space="preserve">для 12 видов экономической деятельности, в том числе в сфере автоперевозок, общественного питания, гостиничного бизнеса, туризма, культуры, досуга и спорта (Закон Саратовской области от 24 ноября 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br/>
        <w:t>2003 года № 73-3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  <w:lang w:val="en-US"/>
        </w:rPr>
        <w:t>CO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 «О введении на территории Саратовской области налога на имущество организаций»);</w:t>
      </w:r>
    </w:p>
    <w:p w:rsidR="00965308" w:rsidRPr="00965308" w:rsidRDefault="00965308" w:rsidP="0096530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с 1 июля 2020 года применение физическими лицами и индивидуальными предпринимателями специального налогового режима «Налог на профессиональный доход» (далее – НПД) -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t>размер налоговой ставки 4% при работе с физическими лицами и 6% - с индивидуальными предпринимателями и юридическими лицами (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t xml:space="preserve">Закон Саратовской области </w:t>
      </w:r>
      <w:r w:rsidRPr="00965308">
        <w:rPr>
          <w:rFonts w:ascii="Times New Roman" w:eastAsiaTheme="minorHAnsi" w:hAnsi="Times New Roman" w:cs="Times New Roman"/>
          <w:sz w:val="28"/>
          <w:szCs w:val="28"/>
          <w:shd w:val="clear" w:color="auto" w:fill="FFFFFF"/>
        </w:rPr>
        <w:br/>
        <w:t xml:space="preserve">от 29 мая 2020 года № 51-ЗСО «О введении в действие на территории Саратовской области специального налогового режима «Налог на профессиональный доход»). </w:t>
      </w:r>
      <w:r w:rsidRPr="00965308">
        <w:rPr>
          <w:rFonts w:ascii="Times New Roman" w:eastAsia="Times New Roman" w:hAnsi="Times New Roman" w:cs="Times New Roman"/>
          <w:sz w:val="28"/>
          <w:szCs w:val="28"/>
        </w:rPr>
        <w:t>При применении НПД налогоплательщики освобождаются от обязанности представлять отчетность, применять контрольно-кассовую технику, регистрироваться в качестве индивидуального предпринимателя и уплачивать страховые взносы.</w:t>
      </w:r>
    </w:p>
    <w:p w:rsidR="00965308" w:rsidRPr="00965308" w:rsidRDefault="00965308" w:rsidP="00965308"/>
    <w:sectPr w:rsidR="00965308" w:rsidRPr="00965308" w:rsidSect="001F0F50">
      <w:headerReference w:type="default" r:id="rId11"/>
      <w:footerReference w:type="default" r:id="rId12"/>
      <w:pgSz w:w="11907" w:h="16840" w:code="9"/>
      <w:pgMar w:top="397" w:right="851" w:bottom="709" w:left="1701" w:header="397" w:footer="397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747" w:rsidRDefault="00184747" w:rsidP="001A643C">
      <w:pPr>
        <w:spacing w:after="0" w:line="240" w:lineRule="auto"/>
      </w:pPr>
      <w:r>
        <w:separator/>
      </w:r>
    </w:p>
  </w:endnote>
  <w:endnote w:type="continuationSeparator" w:id="1">
    <w:p w:rsidR="00184747" w:rsidRDefault="00184747" w:rsidP="001A6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5142221"/>
      <w:docPartObj>
        <w:docPartGallery w:val="Page Numbers (Bottom of Page)"/>
        <w:docPartUnique/>
      </w:docPartObj>
    </w:sdtPr>
    <w:sdtContent>
      <w:p w:rsidR="001571EA" w:rsidRDefault="001A643C">
        <w:pPr>
          <w:pStyle w:val="a5"/>
          <w:jc w:val="right"/>
        </w:pPr>
        <w:r>
          <w:fldChar w:fldCharType="begin"/>
        </w:r>
        <w:r w:rsidR="007F17E8">
          <w:instrText xml:space="preserve"> PAGE   \* MERGEFORMAT </w:instrText>
        </w:r>
        <w:r>
          <w:fldChar w:fldCharType="separate"/>
        </w:r>
        <w:r w:rsidR="00965308">
          <w:rPr>
            <w:noProof/>
          </w:rPr>
          <w:t>5</w:t>
        </w:r>
        <w:r>
          <w:fldChar w:fldCharType="end"/>
        </w:r>
      </w:p>
    </w:sdtContent>
  </w:sdt>
  <w:p w:rsidR="001571EA" w:rsidRDefault="0018474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747" w:rsidRDefault="00184747" w:rsidP="001A643C">
      <w:pPr>
        <w:spacing w:after="0" w:line="240" w:lineRule="auto"/>
      </w:pPr>
      <w:r>
        <w:separator/>
      </w:r>
    </w:p>
  </w:footnote>
  <w:footnote w:type="continuationSeparator" w:id="1">
    <w:p w:rsidR="00184747" w:rsidRDefault="00184747" w:rsidP="001A6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5142223"/>
      <w:docPartObj>
        <w:docPartGallery w:val="Page Numbers (Top of Page)"/>
        <w:docPartUnique/>
      </w:docPartObj>
    </w:sdtPr>
    <w:sdtContent>
      <w:p w:rsidR="00A47615" w:rsidRDefault="001A643C">
        <w:pPr>
          <w:pStyle w:val="a3"/>
          <w:jc w:val="center"/>
        </w:pPr>
        <w:r>
          <w:fldChar w:fldCharType="begin"/>
        </w:r>
        <w:r w:rsidR="007F17E8">
          <w:instrText xml:space="preserve"> PAGE   \* MERGEFORMAT </w:instrText>
        </w:r>
        <w:r>
          <w:fldChar w:fldCharType="separate"/>
        </w:r>
        <w:r w:rsidR="00965308">
          <w:rPr>
            <w:noProof/>
          </w:rPr>
          <w:t>5</w:t>
        </w:r>
        <w:r>
          <w:fldChar w:fldCharType="end"/>
        </w:r>
      </w:p>
    </w:sdtContent>
  </w:sdt>
  <w:p w:rsidR="00A4373B" w:rsidRDefault="0018474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237ED"/>
    <w:rsid w:val="00184747"/>
    <w:rsid w:val="001A643C"/>
    <w:rsid w:val="006237ED"/>
    <w:rsid w:val="007F17E8"/>
    <w:rsid w:val="00965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,Знак Знак,Знак, Знак,ВерхКолонтитул"/>
    <w:basedOn w:val="a"/>
    <w:link w:val="a4"/>
    <w:uiPriority w:val="99"/>
    <w:rsid w:val="006237ED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,Знак Знак Знак,Знак Знак1, Знак Знак,ВерхКолонтитул Знак"/>
    <w:basedOn w:val="a0"/>
    <w:link w:val="a3"/>
    <w:uiPriority w:val="99"/>
    <w:rsid w:val="006237ED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footer"/>
    <w:basedOn w:val="a"/>
    <w:link w:val="a6"/>
    <w:uiPriority w:val="99"/>
    <w:rsid w:val="006237ED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6237ED"/>
    <w:rPr>
      <w:rFonts w:ascii="Times New Roman" w:eastAsia="Times New Roman" w:hAnsi="Times New Roman" w:cs="Times New Roman"/>
      <w:sz w:val="28"/>
      <w:szCs w:val="24"/>
    </w:rPr>
  </w:style>
  <w:style w:type="character" w:styleId="a7">
    <w:name w:val="Hyperlink"/>
    <w:basedOn w:val="a0"/>
    <w:uiPriority w:val="99"/>
    <w:rsid w:val="006237ED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uiPriority w:val="99"/>
    <w:rsid w:val="006237E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237ED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link w:val="a9"/>
    <w:uiPriority w:val="1"/>
    <w:qFormat/>
    <w:rsid w:val="006237E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9">
    <w:name w:val="Без интервала Знак"/>
    <w:basedOn w:val="a0"/>
    <w:link w:val="a8"/>
    <w:uiPriority w:val="1"/>
    <w:rsid w:val="006237ED"/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basedOn w:val="a"/>
    <w:uiPriority w:val="99"/>
    <w:rsid w:val="006237ED"/>
    <w:pPr>
      <w:autoSpaceDE w:val="0"/>
      <w:autoSpaceDN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character" w:customStyle="1" w:styleId="12">
    <w:name w:val="Основной текст12"/>
    <w:basedOn w:val="a0"/>
    <w:rsid w:val="006237E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0"/>
    <w:rsid w:val="006237E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0"/>
    <w:rsid w:val="006237E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0"/>
    <w:rsid w:val="006237ED"/>
    <w:rPr>
      <w:rFonts w:ascii="Times New Roman" w:eastAsia="Times New Roman" w:hAnsi="Times New Roman" w:cs="Times New Roman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pmsp.ru/bankam/programma_stimulir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aratovgarantfond.ru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mco.ru/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info@fsimp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saratov-bis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1857</Words>
  <Characters>10588</Characters>
  <Application>Microsoft Office Word</Application>
  <DocSecurity>0</DocSecurity>
  <Lines>88</Lines>
  <Paragraphs>24</Paragraphs>
  <ScaleCrop>false</ScaleCrop>
  <Company/>
  <LinksUpToDate>false</LinksUpToDate>
  <CharactersWithSpaces>12421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panchenko</dc:creator>
  <cp:lastModifiedBy>panchenko</cp:lastModifiedBy>
  <cp:revision>3</cp:revision>
  <dcterms:created xsi:type="dcterms:W3CDTF">2021-07-14T07:39:00Z</dcterms:created>
  <dcterms:modified xsi:type="dcterms:W3CDTF">2021-07-14T07:47:00Z</dcterms:modified>
</cp:coreProperties>
</file>