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F1E" w:rsidRPr="005709F1" w:rsidRDefault="00D01F1E" w:rsidP="00D01F1E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D01F1E" w:rsidRPr="005709F1" w:rsidRDefault="00D01F1E" w:rsidP="00D01F1E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D01F1E" w:rsidRPr="005709F1" w:rsidRDefault="00D01F1E" w:rsidP="00D01F1E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D01F1E" w:rsidRPr="005709F1" w:rsidRDefault="00D01F1E" w:rsidP="00D01F1E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D01F1E" w:rsidRDefault="00D01F1E" w:rsidP="00D01F1E">
      <w:pPr>
        <w:pStyle w:val="a3"/>
      </w:pPr>
    </w:p>
    <w:p w:rsidR="00D01F1E" w:rsidRPr="005709F1" w:rsidRDefault="00D01F1E" w:rsidP="00D01F1E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D01F1E" w:rsidRPr="005709F1" w:rsidRDefault="00D01F1E" w:rsidP="00D01F1E">
      <w:pPr>
        <w:pStyle w:val="a3"/>
        <w:rPr>
          <w:sz w:val="24"/>
        </w:rPr>
      </w:pPr>
    </w:p>
    <w:p w:rsidR="00D01F1E" w:rsidRDefault="00D01F1E" w:rsidP="00D01F1E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01.09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    № 44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D01F1E" w:rsidRDefault="00D01F1E" w:rsidP="00D01F1E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D01F1E" w:rsidRDefault="00D01F1E" w:rsidP="00D01F1E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 w:rsidRPr="006A48B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Об утверждении Порядка формирования </w:t>
      </w:r>
    </w:p>
    <w:p w:rsidR="00D01F1E" w:rsidRDefault="00D01F1E" w:rsidP="00D01F1E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 w:rsidRPr="006A48B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перечня налоговых расходов и осуществления</w:t>
      </w:r>
    </w:p>
    <w:p w:rsidR="00D01F1E" w:rsidRDefault="00D01F1E" w:rsidP="00D01F1E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 w:rsidRPr="006A48B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оценки налоговых расходов </w:t>
      </w:r>
      <w:proofErr w:type="gramStart"/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Молодёжного</w:t>
      </w:r>
      <w:proofErr w:type="gramEnd"/>
    </w:p>
    <w:p w:rsidR="00D01F1E" w:rsidRDefault="00D01F1E" w:rsidP="00D01F1E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муниципального образования.</w:t>
      </w:r>
    </w:p>
    <w:p w:rsidR="00D01F1E" w:rsidRPr="006A48BF" w:rsidRDefault="00D01F1E" w:rsidP="00D01F1E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01F1E" w:rsidRDefault="00D01F1E" w:rsidP="00D01F1E">
      <w:pPr>
        <w:pStyle w:val="Default"/>
        <w:ind w:firstLine="70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соответствии со статьей 174.3 Бюджетного кодекса Российской </w:t>
      </w:r>
    </w:p>
    <w:p w:rsidR="00D01F1E" w:rsidRDefault="00D01F1E" w:rsidP="00D01F1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Федерации, постановлением Правительства Российской Федерации от 22.06.2019 </w:t>
      </w:r>
    </w:p>
    <w:p w:rsidR="00D01F1E" w:rsidRDefault="00D01F1E" w:rsidP="00D01F1E">
      <w:pPr>
        <w:pStyle w:val="Default"/>
        <w:jc w:val="both"/>
        <w:rPr>
          <w:color w:val="auto"/>
          <w:sz w:val="27"/>
          <w:szCs w:val="27"/>
        </w:rPr>
      </w:pPr>
      <w:r>
        <w:rPr>
          <w:color w:val="auto"/>
          <w:sz w:val="28"/>
          <w:szCs w:val="28"/>
        </w:rPr>
        <w:t>№ 796 «</w:t>
      </w:r>
      <w:r>
        <w:rPr>
          <w:color w:val="auto"/>
          <w:sz w:val="27"/>
          <w:szCs w:val="27"/>
        </w:rPr>
        <w:t xml:space="preserve">Об общих требованиях к оценке налоговых расходов субъектов </w:t>
      </w:r>
    </w:p>
    <w:p w:rsidR="00D01F1E" w:rsidRDefault="00D01F1E" w:rsidP="00D01F1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7"/>
          <w:szCs w:val="27"/>
        </w:rPr>
        <w:t xml:space="preserve">Российской Федерации и муниципальных образований», </w:t>
      </w:r>
      <w:r>
        <w:rPr>
          <w:color w:val="auto"/>
          <w:sz w:val="28"/>
          <w:szCs w:val="28"/>
        </w:rPr>
        <w:t xml:space="preserve">администрация </w:t>
      </w:r>
    </w:p>
    <w:p w:rsidR="00D01F1E" w:rsidRPr="0014579E" w:rsidRDefault="00D01F1E" w:rsidP="00D01F1E">
      <w:pPr>
        <w:pStyle w:val="Default"/>
        <w:jc w:val="both"/>
        <w:rPr>
          <w:color w:val="auto"/>
          <w:sz w:val="27"/>
          <w:szCs w:val="27"/>
        </w:rPr>
      </w:pPr>
      <w:r>
        <w:rPr>
          <w:color w:val="auto"/>
          <w:sz w:val="28"/>
          <w:szCs w:val="28"/>
        </w:rPr>
        <w:t>Молодёжного муниципального образования</w:t>
      </w:r>
    </w:p>
    <w:p w:rsidR="00D01F1E" w:rsidRDefault="00D01F1E" w:rsidP="00D01F1E">
      <w:pPr>
        <w:pStyle w:val="Default"/>
        <w:jc w:val="both"/>
        <w:rPr>
          <w:color w:val="auto"/>
          <w:sz w:val="27"/>
          <w:szCs w:val="27"/>
        </w:rPr>
      </w:pPr>
    </w:p>
    <w:p w:rsidR="00D01F1E" w:rsidRPr="009111C6" w:rsidRDefault="00D01F1E" w:rsidP="00D01F1E">
      <w:pPr>
        <w:pStyle w:val="Default"/>
        <w:jc w:val="both"/>
        <w:rPr>
          <w:color w:val="auto"/>
          <w:sz w:val="27"/>
          <w:szCs w:val="27"/>
        </w:rPr>
      </w:pPr>
    </w:p>
    <w:p w:rsidR="00D01F1E" w:rsidRDefault="00D01F1E" w:rsidP="00D01F1E">
      <w:pPr>
        <w:pStyle w:val="Default"/>
        <w:ind w:firstLine="700"/>
        <w:jc w:val="both"/>
        <w:rPr>
          <w:b/>
          <w:color w:val="auto"/>
          <w:sz w:val="28"/>
          <w:szCs w:val="28"/>
        </w:rPr>
      </w:pPr>
      <w:r w:rsidRPr="0014579E">
        <w:rPr>
          <w:b/>
          <w:color w:val="auto"/>
          <w:sz w:val="28"/>
          <w:szCs w:val="28"/>
        </w:rPr>
        <w:t>ПОСТАНОВЛЯЕТ:</w:t>
      </w:r>
    </w:p>
    <w:p w:rsidR="00D01F1E" w:rsidRPr="0014579E" w:rsidRDefault="00D01F1E" w:rsidP="00D01F1E">
      <w:pPr>
        <w:pStyle w:val="Default"/>
        <w:ind w:firstLine="700"/>
        <w:jc w:val="both"/>
        <w:rPr>
          <w:b/>
          <w:color w:val="auto"/>
          <w:sz w:val="28"/>
          <w:szCs w:val="28"/>
        </w:rPr>
      </w:pPr>
    </w:p>
    <w:p w:rsidR="00D01F1E" w:rsidRDefault="00D01F1E" w:rsidP="00D01F1E">
      <w:pPr>
        <w:pStyle w:val="Default"/>
        <w:ind w:firstLine="700"/>
        <w:jc w:val="both"/>
        <w:rPr>
          <w:color w:val="auto"/>
          <w:sz w:val="28"/>
          <w:szCs w:val="28"/>
        </w:rPr>
      </w:pPr>
    </w:p>
    <w:p w:rsidR="00D01F1E" w:rsidRDefault="00D01F1E" w:rsidP="00D01F1E">
      <w:pPr>
        <w:pStyle w:val="Default"/>
        <w:ind w:firstLine="708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Утвердить Порядок формирования перечня налоговых расходов и осуществления оценки налоговых расходов Молодёжного муниципального образования (прилагается). </w:t>
      </w:r>
    </w:p>
    <w:p w:rsidR="00D01F1E" w:rsidRPr="0014579E" w:rsidRDefault="00D01F1E" w:rsidP="00D01F1E">
      <w:pPr>
        <w:pStyle w:val="Default"/>
        <w:rPr>
          <w:rFonts w:cstheme="minorBidi"/>
          <w:bCs/>
          <w:sz w:val="28"/>
        </w:rPr>
      </w:pPr>
      <w:r w:rsidRPr="0014579E">
        <w:rPr>
          <w:rFonts w:cstheme="minorBidi"/>
          <w:bCs/>
          <w:sz w:val="28"/>
        </w:rPr>
        <w:t xml:space="preserve">        </w:t>
      </w:r>
      <w:r>
        <w:rPr>
          <w:rFonts w:cstheme="minorBidi"/>
          <w:bCs/>
          <w:sz w:val="28"/>
        </w:rPr>
        <w:t xml:space="preserve">  2</w:t>
      </w:r>
      <w:r w:rsidRPr="0014579E">
        <w:rPr>
          <w:rFonts w:cstheme="minorBidi"/>
          <w:bCs/>
          <w:sz w:val="28"/>
        </w:rPr>
        <w:t xml:space="preserve">. Настоящее постановление подлежит официальному опубликованию (обнародованию) путём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14579E">
        <w:rPr>
          <w:rFonts w:cstheme="minorBidi"/>
          <w:bCs/>
          <w:sz w:val="28"/>
        </w:rPr>
        <w:t>http</w:t>
      </w:r>
      <w:proofErr w:type="spellEnd"/>
      <w:r w:rsidRPr="0014579E">
        <w:rPr>
          <w:rFonts w:cstheme="minorBidi"/>
          <w:bCs/>
          <w:sz w:val="28"/>
        </w:rPr>
        <w:t>//молодёжное64.рф.</w:t>
      </w:r>
    </w:p>
    <w:p w:rsidR="00D01F1E" w:rsidRPr="0014579E" w:rsidRDefault="00D01F1E" w:rsidP="00D01F1E">
      <w:pPr>
        <w:pStyle w:val="Default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 xml:space="preserve">          3</w:t>
      </w:r>
      <w:r w:rsidRPr="0014579E">
        <w:rPr>
          <w:rFonts w:cstheme="minorBidi"/>
          <w:bCs/>
          <w:sz w:val="28"/>
        </w:rPr>
        <w:t>. Настоящее постановление вступает в силу после его официального опубликования.</w:t>
      </w:r>
    </w:p>
    <w:p w:rsidR="00D01F1E" w:rsidRPr="0014579E" w:rsidRDefault="00D01F1E" w:rsidP="00D01F1E">
      <w:pPr>
        <w:pStyle w:val="Default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 xml:space="preserve">          4</w:t>
      </w:r>
      <w:r w:rsidRPr="0014579E">
        <w:rPr>
          <w:rFonts w:cstheme="minorBidi"/>
          <w:bCs/>
          <w:sz w:val="28"/>
        </w:rPr>
        <w:t xml:space="preserve">. </w:t>
      </w:r>
      <w:proofErr w:type="gramStart"/>
      <w:r w:rsidRPr="0014579E">
        <w:rPr>
          <w:rFonts w:cstheme="minorBidi"/>
          <w:bCs/>
          <w:sz w:val="28"/>
        </w:rPr>
        <w:t>Контроль за</w:t>
      </w:r>
      <w:proofErr w:type="gramEnd"/>
      <w:r w:rsidRPr="0014579E">
        <w:rPr>
          <w:rFonts w:cstheme="minorBidi"/>
          <w:bCs/>
          <w:sz w:val="28"/>
        </w:rPr>
        <w:t xml:space="preserve"> выполнением настоящего постановления оставляю за собой.</w:t>
      </w:r>
    </w:p>
    <w:p w:rsidR="00D01F1E" w:rsidRPr="0014579E" w:rsidRDefault="00D01F1E" w:rsidP="00D01F1E">
      <w:pPr>
        <w:pStyle w:val="Default"/>
        <w:rPr>
          <w:rFonts w:cstheme="minorBidi"/>
          <w:bCs/>
          <w:sz w:val="28"/>
        </w:rPr>
      </w:pPr>
    </w:p>
    <w:p w:rsidR="00D01F1E" w:rsidRPr="0014579E" w:rsidRDefault="00D01F1E" w:rsidP="00D01F1E">
      <w:pPr>
        <w:pStyle w:val="Default"/>
        <w:rPr>
          <w:rFonts w:cstheme="minorBidi"/>
          <w:bCs/>
          <w:sz w:val="28"/>
        </w:rPr>
      </w:pPr>
    </w:p>
    <w:p w:rsidR="00D01F1E" w:rsidRPr="0014579E" w:rsidRDefault="00D01F1E" w:rsidP="00D01F1E">
      <w:pPr>
        <w:pStyle w:val="Default"/>
        <w:rPr>
          <w:rFonts w:cstheme="minorBidi"/>
          <w:bCs/>
          <w:sz w:val="28"/>
        </w:rPr>
      </w:pPr>
    </w:p>
    <w:p w:rsidR="00D01F1E" w:rsidRPr="0014579E" w:rsidRDefault="00D01F1E" w:rsidP="00D01F1E">
      <w:pPr>
        <w:pStyle w:val="Default"/>
        <w:rPr>
          <w:rFonts w:cstheme="minorBidi"/>
          <w:bCs/>
          <w:sz w:val="28"/>
        </w:rPr>
      </w:pPr>
    </w:p>
    <w:p w:rsidR="00D01F1E" w:rsidRPr="0014579E" w:rsidRDefault="00D01F1E" w:rsidP="00D01F1E">
      <w:pPr>
        <w:pStyle w:val="Default"/>
        <w:rPr>
          <w:rFonts w:cstheme="minorBidi"/>
          <w:bCs/>
          <w:sz w:val="28"/>
        </w:rPr>
      </w:pPr>
    </w:p>
    <w:p w:rsidR="00D01F1E" w:rsidRPr="0014579E" w:rsidRDefault="00D01F1E" w:rsidP="00D01F1E">
      <w:pPr>
        <w:pStyle w:val="Default"/>
        <w:rPr>
          <w:rFonts w:cstheme="minorBidi"/>
          <w:bCs/>
          <w:sz w:val="28"/>
        </w:rPr>
      </w:pPr>
      <w:r w:rsidRPr="0014579E">
        <w:rPr>
          <w:rFonts w:cstheme="minorBidi"/>
          <w:bCs/>
          <w:sz w:val="28"/>
        </w:rPr>
        <w:t xml:space="preserve">Глава </w:t>
      </w:r>
      <w:proofErr w:type="gramStart"/>
      <w:r w:rsidRPr="0014579E">
        <w:rPr>
          <w:rFonts w:cstheme="minorBidi"/>
          <w:bCs/>
          <w:sz w:val="28"/>
        </w:rPr>
        <w:t>Молодёжного</w:t>
      </w:r>
      <w:proofErr w:type="gramEnd"/>
      <w:r w:rsidRPr="0014579E">
        <w:rPr>
          <w:rFonts w:cstheme="minorBidi"/>
          <w:bCs/>
          <w:sz w:val="28"/>
        </w:rPr>
        <w:t xml:space="preserve"> муниципального </w:t>
      </w:r>
    </w:p>
    <w:p w:rsidR="00D01F1E" w:rsidRPr="0014579E" w:rsidRDefault="00D01F1E" w:rsidP="00D01F1E">
      <w:pPr>
        <w:pStyle w:val="Default"/>
        <w:rPr>
          <w:rFonts w:cstheme="minorBidi"/>
          <w:bCs/>
          <w:sz w:val="28"/>
        </w:rPr>
      </w:pPr>
      <w:r w:rsidRPr="0014579E">
        <w:rPr>
          <w:rFonts w:cstheme="minorBidi"/>
          <w:bCs/>
          <w:sz w:val="28"/>
        </w:rPr>
        <w:t xml:space="preserve">образования                                                                               </w:t>
      </w:r>
      <w:r>
        <w:rPr>
          <w:rFonts w:cstheme="minorBidi"/>
          <w:bCs/>
          <w:sz w:val="28"/>
        </w:rPr>
        <w:t xml:space="preserve">          </w:t>
      </w:r>
      <w:proofErr w:type="spellStart"/>
      <w:r w:rsidRPr="0014579E">
        <w:rPr>
          <w:rFonts w:cstheme="minorBidi"/>
          <w:bCs/>
          <w:sz w:val="28"/>
        </w:rPr>
        <w:t>Алишанин</w:t>
      </w:r>
      <w:proofErr w:type="spellEnd"/>
      <w:r w:rsidRPr="0014579E">
        <w:rPr>
          <w:rFonts w:cstheme="minorBidi"/>
          <w:bCs/>
          <w:sz w:val="28"/>
        </w:rPr>
        <w:t xml:space="preserve"> С.Н.</w:t>
      </w:r>
    </w:p>
    <w:p w:rsidR="00D01F1E" w:rsidRPr="0014579E" w:rsidRDefault="00D01F1E" w:rsidP="00D01F1E">
      <w:pPr>
        <w:pStyle w:val="Default"/>
        <w:rPr>
          <w:rFonts w:cstheme="minorBidi"/>
          <w:bCs/>
          <w:sz w:val="28"/>
        </w:rPr>
      </w:pPr>
    </w:p>
    <w:p w:rsidR="00D01F1E" w:rsidRDefault="00D01F1E" w:rsidP="00D01F1E">
      <w:pPr>
        <w:pStyle w:val="Default"/>
        <w:rPr>
          <w:rFonts w:cstheme="minorBidi"/>
          <w:color w:val="auto"/>
        </w:rPr>
        <w:sectPr w:rsidR="00D01F1E" w:rsidSect="009111C6">
          <w:pgSz w:w="11906" w:h="17338"/>
          <w:pgMar w:top="1321" w:right="130" w:bottom="2562" w:left="1186" w:header="720" w:footer="720" w:gutter="0"/>
          <w:cols w:space="720"/>
          <w:noEndnote/>
        </w:sectPr>
      </w:pPr>
    </w:p>
    <w:p w:rsidR="00D01F1E" w:rsidRDefault="00D01F1E" w:rsidP="00D01F1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ПОРЯДОК</w:t>
      </w:r>
    </w:p>
    <w:p w:rsidR="00D01F1E" w:rsidRDefault="00D01F1E" w:rsidP="00D01F1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формирования перечня налоговых расходов и осуществления </w:t>
      </w:r>
    </w:p>
    <w:p w:rsidR="00D01F1E" w:rsidRDefault="00D01F1E" w:rsidP="00D01F1E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оценки налоговых расходов Молодёжного муниципального образования</w:t>
      </w:r>
    </w:p>
    <w:p w:rsidR="00D01F1E" w:rsidRDefault="00D01F1E" w:rsidP="00D01F1E">
      <w:pPr>
        <w:pStyle w:val="Default"/>
        <w:jc w:val="center"/>
        <w:rPr>
          <w:color w:val="auto"/>
          <w:sz w:val="28"/>
          <w:szCs w:val="28"/>
        </w:rPr>
      </w:pPr>
    </w:p>
    <w:p w:rsidR="00D01F1E" w:rsidRDefault="00D01F1E" w:rsidP="00D01F1E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                                          I. Общие положения </w:t>
      </w:r>
    </w:p>
    <w:p w:rsidR="00D01F1E" w:rsidRDefault="00D01F1E" w:rsidP="00D01F1E">
      <w:pPr>
        <w:pStyle w:val="Default"/>
        <w:rPr>
          <w:color w:val="auto"/>
          <w:sz w:val="28"/>
          <w:szCs w:val="28"/>
        </w:rPr>
      </w:pPr>
    </w:p>
    <w:p w:rsidR="00D01F1E" w:rsidRDefault="00D01F1E" w:rsidP="00D01F1E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1. Настоящий Порядок определяет процедуру формирования перечня налоговых расходов и оценки налоговых расходов  Молодёжного муниципального образования (далее – Порядок).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Понятия, используемые в настоящем Порядке, означают следующее: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 xml:space="preserve">«налоговые расходы муниципального образования» - выпадающие доходы бюджета муниципального образования,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 – экономической политики муниципального образования, не относящимися к муниципальным программам; </w:t>
      </w:r>
      <w:proofErr w:type="gramEnd"/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 xml:space="preserve">«куратор налогового расхода» – органы местного самоуправления, отраслевые (функциональные) органы администрации Молодёжного муниципального образования  с правом юридического лица, структурные подразделения администрации Молодёжного муниципального образования, ответственные в соответствии с полномочиями, установленными муниципальными правовыми актами, за достижение соответствующих налоговому расходу целей муниципальной программы и (или) целей социально-экономической политики Молодёжного муниципального образования, не относящихся к муниципальным программам Молодёжного муниципального образования; </w:t>
      </w:r>
      <w:proofErr w:type="gramEnd"/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 xml:space="preserve">«нормативные характеристики налоговых расходов </w:t>
      </w:r>
      <w:r w:rsidRPr="00B41E37">
        <w:rPr>
          <w:color w:val="auto"/>
          <w:sz w:val="23"/>
          <w:szCs w:val="23"/>
        </w:rPr>
        <w:t xml:space="preserve">Молодёжного </w:t>
      </w:r>
      <w:r>
        <w:rPr>
          <w:color w:val="auto"/>
          <w:sz w:val="23"/>
          <w:szCs w:val="23"/>
        </w:rPr>
        <w:t xml:space="preserve">муниципального образования» - сведения о положениях нормативных правовых актов, которыми предусматриваются налоговые льготы, освобождения и иные преференции по налогам, сборам (далее - льготы), наименованиях налогов, сборов, по которым установлены льготы, категориях плательщиков, для которых предусмотрены льготы, а также иные характеристики по перечню согласно приложению 2 к настоящему порядку; </w:t>
      </w:r>
      <w:proofErr w:type="gramEnd"/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«оценка налоговых расходов Молодёжного муниципального образования» - комплекс мероприятий по оценке объемов налоговых расходов Молодёжного муниципального образования</w:t>
      </w:r>
      <w:proofErr w:type="gramStart"/>
      <w:r>
        <w:rPr>
          <w:color w:val="auto"/>
          <w:sz w:val="23"/>
          <w:szCs w:val="23"/>
        </w:rPr>
        <w:t xml:space="preserve">  ,</w:t>
      </w:r>
      <w:proofErr w:type="gramEnd"/>
      <w:r>
        <w:rPr>
          <w:color w:val="auto"/>
          <w:sz w:val="23"/>
          <w:szCs w:val="23"/>
        </w:rPr>
        <w:t xml:space="preserve"> обусловленных льготами, предоставленными плательщикам, а также по оценке эффективности налоговых расходов Молодёжного муниципального образования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«оценка объемов налоговых расходов Молодёжного муниципального образования  » - определение объемов выпадающих доходов бюджета Молодёжного муниципального образования, обусловленных льготами, предоставленными плательщикам;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«оценка эффективности налоговых расходов»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расходов Молодёжного муниципального образования;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«паспорт налогового расхода Молодёжного муниципального образования» - документ, содержащий сведения о нормативных, фискальных и целевых характеристиках налогового расхода Молодёжного муниципального образования,  представляемый куратором налогового расхода;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«перечень налоговых расходов Молодёжного муниципального образования» - документ, содержащий сведения о распределении налоговых расходов Молодёжного муниципального образования   в соответствии с целями муниципальных программ, структурных элементов муниципальных программ и (или) целях социально- </w:t>
      </w:r>
      <w:proofErr w:type="gramStart"/>
      <w:r>
        <w:rPr>
          <w:color w:val="auto"/>
          <w:sz w:val="23"/>
          <w:szCs w:val="23"/>
        </w:rPr>
        <w:t>экономической</w:t>
      </w:r>
      <w:proofErr w:type="gramEnd"/>
    </w:p>
    <w:p w:rsidR="00D01F1E" w:rsidRPr="00F3765C" w:rsidRDefault="00D01F1E" w:rsidP="00D01F1E">
      <w:pPr>
        <w:pStyle w:val="Default"/>
        <w:pageBreakBefore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политики городского округа, не относящихся к муниципальным программам, а также о кураторах налоговых расходов;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«плательщики» - плательщики налогов, сборов;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«социальные налоговые расходы» - целевая категория налоговых расходов Молодёжного муниципального образования, обусловленных необходимостью обеспечения социальной защиты (поддержки) населения;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«стимулирующие налоговые расходы» - целевая категория налоговых расходов Молодёжного муниципального образования, предполагающих стимулирование экономической активности субъектов предпринимательской деятельности и последующее увеличение доходов бюджета Молодёжного муниципального образования</w:t>
      </w:r>
      <w:proofErr w:type="gramStart"/>
      <w:r>
        <w:rPr>
          <w:color w:val="auto"/>
          <w:sz w:val="23"/>
          <w:szCs w:val="23"/>
        </w:rPr>
        <w:t xml:space="preserve">  ;</w:t>
      </w:r>
      <w:proofErr w:type="gramEnd"/>
      <w:r>
        <w:rPr>
          <w:color w:val="auto"/>
          <w:sz w:val="23"/>
          <w:szCs w:val="23"/>
        </w:rPr>
        <w:t xml:space="preserve">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«технические налоговые расходы» - целевая категория налоговых расходов Молодёжного муниципального образования, предполагающих уменьшение расходов плательщиков, имеющих право на льготы, финансовое обеспечение которых осуществляется в полном объеме или частично за счет бюджета Молодёжного муниципального образования;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«фискальные характеристики налоговых расходов Молодёжного муниципального образования» - сведения об объеме льгот, предоставленных плательщикам, о численности получателей льгот, об объеме налогов, сборов, задекларированных ими для уплаты в бюджет Молодёжного муниципального образования, а также иные характеристики, предусмотренные приложением 2 к настоящему Порядку;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«целевые характеристики налоговых расходов Молодёжного муниципального образования» - сведения о целевой категории налоговых расходов Молодёжного муниципального образования, целях предоставления плательщикам налоговых льгот, а также иные характеристики, предусмотренные приложением 2 к настоящему Порядку.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Процедура оценки налоговых расходов Молодёжного муниципального образования   предусматривает: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1) формирование перечня налоговых расходов Молодёжного муниципального образования;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2) распределение налоговых расходов Молодёжного муниципального образования   по муниципальным программам, их структурным элементам и (или) целям социально-экономической политики Молодёжного муниципального образования   не относящимся к муниципальным программам;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3) проведение оценки эффективности каждого налогового расхода Молодёжного муниципального образования   включая оценку целесообразности и результативности;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4) формирование общего вывода об эффективности налоговых расходов Молодёжного муниципального образования   и обоснованности применения льгот, обуславливающих данные налоговые расходы, а также рекомендаций о необходимости сохранения (уточнения, отмены) предоставленных (планируемых к предоставлению) плательщикам льгот. </w:t>
      </w:r>
    </w:p>
    <w:p w:rsidR="00D01F1E" w:rsidRDefault="00D01F1E" w:rsidP="00D01F1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Оценка налоговых расходов осуществляется: </w:t>
      </w:r>
    </w:p>
    <w:p w:rsidR="00D01F1E" w:rsidRDefault="00D01F1E" w:rsidP="00D01F1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ежегодно, по предоставленным налоговым льготам (налоговым расходам) по состоянию на 01 января текущего года и плановый период - до 01 октября текущего года; </w:t>
      </w:r>
    </w:p>
    <w:p w:rsidR="00D01F1E" w:rsidRDefault="00D01F1E" w:rsidP="00D01F1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оценка эффективности планируемых к предоставлению налоговых льгот осуществляется в сроки, обеспечивающие принятие и опубликование соответствующих нормативных правовых актов в соответствии с налоговым и бюджетным законодательством. </w:t>
      </w:r>
    </w:p>
    <w:p w:rsidR="00D01F1E" w:rsidRDefault="00D01F1E" w:rsidP="00D01F1E">
      <w:pPr>
        <w:pStyle w:val="Default"/>
        <w:spacing w:before="12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Оценка налоговых расходов не осуществляется по льготам, отмененным на момент осуществления оценки налоговых расходов. </w:t>
      </w:r>
    </w:p>
    <w:p w:rsidR="00D01F1E" w:rsidRDefault="00D01F1E" w:rsidP="00D01F1E">
      <w:pPr>
        <w:pStyle w:val="Default"/>
        <w:spacing w:before="12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 В целях проведения оценки эффективности налоговых расходов: </w:t>
      </w:r>
    </w:p>
    <w:p w:rsidR="00D01F1E" w:rsidRPr="009F3B30" w:rsidRDefault="00D01F1E" w:rsidP="00D01F1E">
      <w:pPr>
        <w:pStyle w:val="Default"/>
        <w:spacing w:after="100"/>
        <w:ind w:firstLine="708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 xml:space="preserve">а) Администрация Молодёжного муниципального образования  в соответствии с постановлением Правительства Российской Федерации от 12 августа 2004 года № 410 «О порядке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</w:t>
      </w:r>
      <w:r>
        <w:rPr>
          <w:color w:val="auto"/>
          <w:sz w:val="23"/>
          <w:szCs w:val="23"/>
        </w:rPr>
        <w:lastRenderedPageBreak/>
        <w:t>исполнительной власти, уполномоченного по контролю и надзору в области налогов и сборов» (далее – Порядок взаимодействия) в срок до 01 апреля текущего года направляет в</w:t>
      </w:r>
      <w:proofErr w:type="gramEnd"/>
      <w:r>
        <w:rPr>
          <w:color w:val="auto"/>
          <w:sz w:val="23"/>
          <w:szCs w:val="23"/>
        </w:rPr>
        <w:t xml:space="preserve"> налоговый</w:t>
      </w:r>
      <w:proofErr w:type="gramStart"/>
      <w:r>
        <w:rPr>
          <w:color w:val="auto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auto"/>
          <w:sz w:val="23"/>
          <w:szCs w:val="23"/>
        </w:rPr>
        <w:t>.</w:t>
      </w:r>
      <w:proofErr w:type="gramEnd"/>
      <w:r>
        <w:rPr>
          <w:color w:val="auto"/>
          <w:sz w:val="23"/>
          <w:szCs w:val="23"/>
        </w:rPr>
        <w:t xml:space="preserve">орган информацию об установленных в соответствии с нормативными правовыми актами органов местного самоуправления налоговых льготах по категориям налогоплательщиков;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налоговый орган в соответствии с Порядком взаимодействия в согласованные сроки представляют в администрацию Молодёжного муниципального образования  следующую информацию: </w:t>
      </w:r>
    </w:p>
    <w:p w:rsidR="00D01F1E" w:rsidRDefault="00D01F1E" w:rsidP="00D01F1E">
      <w:pPr>
        <w:pStyle w:val="Default"/>
        <w:spacing w:after="100"/>
        <w:ind w:left="283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о начислениях в целом по соответствующим видам налогов, сборов и иных обязательных платежей, контролируемых налоговыми органами в соответствии с законодательством Российской Федерации; </w:t>
      </w:r>
    </w:p>
    <w:p w:rsidR="00D01F1E" w:rsidRDefault="00D01F1E" w:rsidP="00D01F1E">
      <w:pPr>
        <w:pStyle w:val="Default"/>
        <w:spacing w:after="100"/>
        <w:ind w:left="283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об уплаченных суммах в целом по соответствующим видам налогов, сборов и иных обязательных платежей, контролируемых налоговыми органами в соответствии с законодательством Российской Федерации; </w:t>
      </w:r>
    </w:p>
    <w:p w:rsidR="00D01F1E" w:rsidRDefault="00D01F1E" w:rsidP="00D01F1E">
      <w:pPr>
        <w:pStyle w:val="Default"/>
        <w:spacing w:after="100"/>
        <w:ind w:left="283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о суммах задолженности, недоимки, отсроченных (рассроченных), реструктурированных и приостановленных к взысканию налогов, сборов, пеней и штрафов в целом по соответствующим видам налогов, сборов и иных обязательных платежей, контролируемых налоговыми органами в соответствии с законодательством Российской Федерации;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>в) налоговые органы, в согласованные сроки, представляют в администрацию Молодёжного муниципального образования  за отчетный финансовый год и при необходимости за иные отчетные периоды, сведения о налоговой базе и структуре начислений по налогам и сборам, формирующим в соответствии с Бюджетным кодексом Российской Федерации доходы местных бюджетов, о суммах налоговых льгот по местным налогам (по категориям налогоплательщиков и (или) видам налоговых льгот</w:t>
      </w:r>
      <w:proofErr w:type="gramEnd"/>
      <w:r>
        <w:rPr>
          <w:color w:val="auto"/>
          <w:sz w:val="23"/>
          <w:szCs w:val="23"/>
        </w:rPr>
        <w:t xml:space="preserve">), а так же о количестве плательщиков и количестве плательщиков, которым предоставлены льготы (фискальные характеристики);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 xml:space="preserve">г) в целях проведения оценки налоговых расходов могут быть использованы данные налоговой отчетности, статистической отчетности, сведения, предоставленные исполнительными органами государственной власти Российской Федерации, субъекта Российской Федерации и отраслевыми (функциональными) органами администрации, Молодёжного муниципального образования  данные предоставленные налогоплательщиками, использующими льготы, а так же иной информации, позволяющей произвести оценку налоговых расходов. </w:t>
      </w:r>
      <w:proofErr w:type="gramEnd"/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</w:p>
    <w:p w:rsidR="00D01F1E" w:rsidRDefault="00D01F1E" w:rsidP="00D01F1E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II. Порядок формирования перечня налоговых расходов.</w:t>
      </w:r>
    </w:p>
    <w:p w:rsidR="00D01F1E" w:rsidRDefault="00D01F1E" w:rsidP="00D01F1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 </w:t>
      </w:r>
      <w:proofErr w:type="gramStart"/>
      <w:r>
        <w:rPr>
          <w:color w:val="auto"/>
          <w:sz w:val="23"/>
          <w:szCs w:val="23"/>
        </w:rPr>
        <w:t xml:space="preserve">В целях оценки налоговых расходов городского округа администрация Молодёжного муниципального образования   (далее – администрация) формирует проект перечня налоговых расходов Молодёжного муниципального образования   (далее – Перечень) по форме согласно приложению 1 к Порядку в срок до 01 августа 2023 года (в последующие годы вносятся изменения и (или) дополнения) и направляет на согласование кураторам налоговых расходов. </w:t>
      </w:r>
      <w:proofErr w:type="gramEnd"/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 </w:t>
      </w:r>
      <w:proofErr w:type="gramStart"/>
      <w:r>
        <w:rPr>
          <w:color w:val="auto"/>
          <w:sz w:val="23"/>
          <w:szCs w:val="23"/>
        </w:rPr>
        <w:t xml:space="preserve">Кураторы налоговых расходов до 15 августа 2023 года рассматривают проект Перечня на предмет предлагаемого распределения налоговых расходов Молодёжного муниципального образования   (далее - налоговых расходов) в соответствии с целями муниципальных программ, структурных элементов муниципальных программ и (или) целями социально-экономической политики Молодёжного муниципального образования, не относящимися к муниципальным программам (подпрограммам муниципальных программ) и определения куратора налоговых расходов. </w:t>
      </w:r>
      <w:proofErr w:type="gramEnd"/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Куратор налоговых расходов самостоятельно определяет целевую категорию соответствующего налогового расхода (социальная, стимулирующая, техническая) исходя из характера и цели налогового расхода, а так же категории плательщиков, воспользовавшихся налоговой льготой.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Замечания и предложения по уточнению проекта Перечня направляются в администрацию Молодёжного муниципального образования.</w:t>
      </w:r>
    </w:p>
    <w:p w:rsidR="00D01F1E" w:rsidRPr="00BE586E" w:rsidRDefault="00D01F1E" w:rsidP="00D01F1E">
      <w:pPr>
        <w:pStyle w:val="Default"/>
        <w:spacing w:after="100"/>
        <w:ind w:firstLine="708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 xml:space="preserve">             </w:t>
      </w:r>
      <w:r>
        <w:rPr>
          <w:color w:val="auto"/>
          <w:sz w:val="23"/>
          <w:szCs w:val="23"/>
        </w:rPr>
        <w:t xml:space="preserve">В случае если замечания и предложения по проекту Перечня не направлены в установленный в абзаце первом настоящего пункта срок, проект Перечня считается согласованным в соответствующей части.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 xml:space="preserve">В случае если замечания и предложения по проекту Перечня не содержат предложений по уточнению предлагаемого распределения налоговых расходов в соответствии с целями муниципальных программ, структурных элементов муниципальных программ и (или) целями социально-экономической политики Молодёжного муниципального образования, не относящимися к муниципальным программам (подпрограммам муниципальных программ), проект Перечня считается согласованным в соответствующей части. </w:t>
      </w:r>
      <w:proofErr w:type="gramEnd"/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Согласование проекта Перечня в части позиций, изложенных идентично позициям Перечня на текущий год и плановый период, не требуется, за исключением случаев внесения изменений в перечень муниципальных программ, структурные элементы муниципальных программ и (или) случаев изменения полномочий кураторов.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случае несогласия кураторов с проектом Перечня и предложениями по определению кураторов администрация Молодёжного муниципального образования   </w:t>
      </w:r>
      <w:r w:rsidR="006C6219">
        <w:rPr>
          <w:color w:val="auto"/>
          <w:sz w:val="23"/>
          <w:szCs w:val="23"/>
        </w:rPr>
        <w:t>до 20 августа 2023</w:t>
      </w:r>
      <w:r>
        <w:rPr>
          <w:color w:val="auto"/>
          <w:sz w:val="23"/>
          <w:szCs w:val="23"/>
        </w:rPr>
        <w:t xml:space="preserve"> года обеспечивает проведение согласительных процедур путем обсуждения проекта Перечня с кураторами. По результатам обсуждения составляется протокол согласительного совещания, в котором должно быть указано решение с обоснованием возможности утверждения Перечня.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9. Согласованный кураторами Перечень утверждается распоряжением администрации Молодёжного муниципального образования   и размещается администрацией  на официальном сайте Молодёжного муниципального образования   в информационн</w:t>
      </w:r>
      <w:proofErr w:type="gramStart"/>
      <w:r>
        <w:rPr>
          <w:color w:val="auto"/>
          <w:sz w:val="23"/>
          <w:szCs w:val="23"/>
        </w:rPr>
        <w:t>о-</w:t>
      </w:r>
      <w:proofErr w:type="gramEnd"/>
      <w:r>
        <w:rPr>
          <w:color w:val="auto"/>
          <w:sz w:val="23"/>
          <w:szCs w:val="23"/>
        </w:rPr>
        <w:t xml:space="preserve"> телекоммуникационной сети Интернет </w:t>
      </w:r>
      <w:r w:rsidR="006C6219">
        <w:rPr>
          <w:color w:val="auto"/>
          <w:sz w:val="23"/>
          <w:szCs w:val="23"/>
        </w:rPr>
        <w:t>не позднее 01 сентября 2023</w:t>
      </w:r>
      <w:bookmarkStart w:id="0" w:name="_GoBack"/>
      <w:bookmarkEnd w:id="0"/>
      <w:r w:rsidRPr="006C6219">
        <w:rPr>
          <w:color w:val="auto"/>
          <w:sz w:val="23"/>
          <w:szCs w:val="23"/>
        </w:rPr>
        <w:t xml:space="preserve"> года.</w:t>
      </w:r>
      <w:r>
        <w:rPr>
          <w:color w:val="auto"/>
          <w:sz w:val="23"/>
          <w:szCs w:val="23"/>
        </w:rPr>
        <w:t xml:space="preserve"> </w:t>
      </w:r>
    </w:p>
    <w:p w:rsidR="00D01F1E" w:rsidRDefault="00D01F1E" w:rsidP="00D01F1E">
      <w:pPr>
        <w:pStyle w:val="Default"/>
        <w:spacing w:after="100"/>
        <w:ind w:firstLine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10. </w:t>
      </w:r>
      <w:proofErr w:type="gramStart"/>
      <w:r>
        <w:rPr>
          <w:color w:val="auto"/>
          <w:sz w:val="23"/>
          <w:szCs w:val="23"/>
        </w:rPr>
        <w:t xml:space="preserve">В случае внесения в текущем году и в последующие годы изменений в муниципальные программы, структурные элементы муниципальных программ и (или) в случае изменения полномочий кураторов, в соответствии с которыми возникает необходимость внесения изменений в Перечень, кураторы налоговых расходов не позднее 10 рабочих дней со дня внесения соответствующих изменений направляют в администрацию информацию для внесения изменений в Перечень. </w:t>
      </w:r>
      <w:proofErr w:type="gramEnd"/>
    </w:p>
    <w:p w:rsidR="00D01F1E" w:rsidRDefault="00D01F1E" w:rsidP="00D01F1E">
      <w:pPr>
        <w:pStyle w:val="Default"/>
        <w:spacing w:after="100"/>
        <w:ind w:firstLine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11. Измененный Перечень размещается администрацией  на официальном сайте Молодёжного муниципального образования  в информационно - телекоммуникационной сети Интернет в течение 15 рабочих дней со дня внесения таких изменений. </w:t>
      </w:r>
    </w:p>
    <w:p w:rsidR="00D01F1E" w:rsidRDefault="00D01F1E" w:rsidP="00D01F1E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III. Порядок оценки налоговых расходов </w:t>
      </w:r>
    </w:p>
    <w:p w:rsidR="00D01F1E" w:rsidRDefault="00D01F1E" w:rsidP="00D01F1E">
      <w:pPr>
        <w:pStyle w:val="Default"/>
        <w:jc w:val="center"/>
        <w:rPr>
          <w:color w:val="auto"/>
          <w:sz w:val="28"/>
          <w:szCs w:val="28"/>
        </w:rPr>
      </w:pP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12. Оценка эффективности налоговых расходов осуществляется кураторами налоговых расходов отдельно по каждому виду налогового расхода.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13. В целях оценки налоговых расходов кураторы формируют паспорт налогового расхода по форме согласно приложению 2 к настоящему Порядку, содержащий информацию о нормативных, целевых и фискальных характеристиках налогового расхода. </w:t>
      </w:r>
    </w:p>
    <w:p w:rsidR="00D01F1E" w:rsidRDefault="00D01F1E" w:rsidP="00D01F1E">
      <w:pPr>
        <w:pStyle w:val="Default"/>
        <w:spacing w:before="12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14. Оценка эффективности налоговых расходов включает: </w:t>
      </w:r>
    </w:p>
    <w:p w:rsidR="00D01F1E" w:rsidRDefault="00D01F1E" w:rsidP="00D01F1E">
      <w:pPr>
        <w:pStyle w:val="Default"/>
        <w:spacing w:before="12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оценку целесообразности налоговых расходов; </w:t>
      </w:r>
    </w:p>
    <w:p w:rsidR="00D01F1E" w:rsidRDefault="00D01F1E" w:rsidP="00D01F1E">
      <w:pPr>
        <w:pStyle w:val="Default"/>
        <w:spacing w:before="120"/>
        <w:ind w:firstLine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оценку результативности налоговых расходов. </w:t>
      </w:r>
    </w:p>
    <w:p w:rsidR="00D01F1E" w:rsidRDefault="00D01F1E" w:rsidP="00D01F1E">
      <w:pPr>
        <w:pStyle w:val="Default"/>
        <w:spacing w:before="120"/>
        <w:ind w:firstLine="708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15. Критериями целесообразности налоговых расходов являются: </w:t>
      </w:r>
    </w:p>
    <w:p w:rsidR="00D01F1E" w:rsidRDefault="00D01F1E" w:rsidP="00D01F1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1) соответствие налоговых расходов целям муниципальных программ, структурных элементов муниципальных программ и (или) целям социально-экономической политики городского округа;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2) востребованность плательщиками предоставленных налоговых льгот, </w:t>
      </w:r>
      <w:proofErr w:type="gramStart"/>
      <w:r>
        <w:rPr>
          <w:color w:val="auto"/>
          <w:sz w:val="23"/>
          <w:szCs w:val="23"/>
        </w:rPr>
        <w:t>которая</w:t>
      </w:r>
      <w:proofErr w:type="gramEnd"/>
      <w:r>
        <w:rPr>
          <w:color w:val="auto"/>
          <w:sz w:val="23"/>
          <w:szCs w:val="23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плательщиков, за 5-летний период. </w:t>
      </w:r>
      <w:r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:rsidR="00D01F1E" w:rsidRPr="00F3765C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 w:rsidRPr="00F3765C">
        <w:rPr>
          <w:iCs/>
          <w:color w:val="auto"/>
          <w:sz w:val="23"/>
          <w:szCs w:val="23"/>
        </w:rPr>
        <w:t>15.1. Оценка соответствия налоговых расходов муниципального образования целям муниципальных программ, структурных элементов муниципальных программ и (или) целям с</w:t>
      </w:r>
      <w:r>
        <w:rPr>
          <w:iCs/>
          <w:color w:val="auto"/>
          <w:sz w:val="23"/>
          <w:szCs w:val="23"/>
        </w:rPr>
        <w:t>оциально-экономической политики Молодёжного</w:t>
      </w:r>
      <w:r>
        <w:rPr>
          <w:color w:val="auto"/>
          <w:sz w:val="23"/>
          <w:szCs w:val="23"/>
        </w:rPr>
        <w:t xml:space="preserve"> муниципального образования</w:t>
      </w:r>
      <w:r w:rsidRPr="00F3765C">
        <w:rPr>
          <w:iCs/>
          <w:color w:val="auto"/>
          <w:sz w:val="23"/>
          <w:szCs w:val="23"/>
        </w:rPr>
        <w:t xml:space="preserve">, не относящимся к муниципальным программам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Налоговый расход должен соответствовать минимум одной цели муниципальной программы, структурного элемента муниципальной программы и (или) цели социально-экономической политики городского округа, не относящейся к муниципальным программам.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Один налоговый расход может соответствовать нескольким целям муниципальных программ, структурных элементов и (или) целям социально-экономической политики, не относящимся к муниципальным программам (такие цели могут носить разнородный характер). В этом случае при проведении оценки целесообразности налоговых расходов следует определить одну цель, которая в большей степени отражает цель предоставления налоговой льготы.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При оценке налоговых расходов следует учитывать, что налоговый расход должен оказывать прямое или косвенное влияние на достижение целей муниципальной программы, ее структурных элементов и (или) целей социально-экономической политики, не относящихся к муниципальным программам. Прямое влияние предполагает, что связь между налоговыми расходами и вышеуказанными целями должна быть понятной и однозначно воспринимаемой. Косвенное (опосредованное) влияние должно сопровождаться описанием обоснования взаимосвязи между налоговым расходом и вышеуказанными целями.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При проведении оценки соответствия налоговых расходов целям муниципальных программ и (или) иных документов Молодёжного муниципального образования  в, содержащих цели социально-экономической политики Молодёжного муниципального образования</w:t>
      </w:r>
      <w:proofErr w:type="gramStart"/>
      <w:r>
        <w:rPr>
          <w:color w:val="auto"/>
          <w:sz w:val="23"/>
          <w:szCs w:val="23"/>
        </w:rPr>
        <w:t xml:space="preserve">  ,</w:t>
      </w:r>
      <w:proofErr w:type="gramEnd"/>
      <w:r>
        <w:rPr>
          <w:color w:val="auto"/>
          <w:sz w:val="23"/>
          <w:szCs w:val="23"/>
        </w:rPr>
        <w:t xml:space="preserve"> необходимо учитывать, что проведение оценки обязательно даже в случае отсутствия в таких документах сведений о налоговых льготах, обуславливающих налоговые расходы. </w:t>
      </w:r>
    </w:p>
    <w:p w:rsidR="00D01F1E" w:rsidRDefault="00D01F1E" w:rsidP="00D01F1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При оценке эффективности налогового расхода ключевым условием является соответствие налогового расхода целям муниципальной программы и (или) иным целям социально – экономической политики Молодёжного муниципального образования. </w:t>
      </w:r>
    </w:p>
    <w:p w:rsidR="00D01F1E" w:rsidRPr="00F3765C" w:rsidRDefault="00D01F1E" w:rsidP="00D01F1E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F3765C">
        <w:rPr>
          <w:iCs/>
          <w:color w:val="auto"/>
          <w:sz w:val="23"/>
          <w:szCs w:val="23"/>
        </w:rPr>
        <w:t xml:space="preserve">15.2. Оценка востребованности плательщиками предоставленных налоговых льгот.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color w:val="auto"/>
          <w:sz w:val="23"/>
          <w:szCs w:val="23"/>
        </w:rPr>
        <w:t>Востребованность плательщиками предоставленных налоговых льгот характеризуется соотношением численности плательщиков, воспользовавшихся правом на льготы, и общей численности плательщиков, за 5-летний период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При определении показателя востребованности численность плательщиков, воспользовавшихся правом на налоговые льготы, может быть соотнесена с количеством плательщиков, потенциально имеющих право на получение данной льготы. Если в результате проведенной оценки востребованность льготы составляет менее 1%, то такая льгота признается низко востребованной.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Плательщики, потенциально имеющие право на получение налоговой льготы, определяются на основании данных налогового органа, статистических данных и иных сведений. Кроме того, количество потенциальных плательщиков может быть расчетным показателем, в связи с чем, куратору налогового расхода требуется отразить порядок расчета указанного показателя.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 случае</w:t>
      </w:r>
      <w:proofErr w:type="gramStart"/>
      <w:r>
        <w:rPr>
          <w:color w:val="auto"/>
          <w:sz w:val="23"/>
          <w:szCs w:val="23"/>
        </w:rPr>
        <w:t>,</w:t>
      </w:r>
      <w:proofErr w:type="gramEnd"/>
      <w:r>
        <w:rPr>
          <w:color w:val="auto"/>
          <w:sz w:val="23"/>
          <w:szCs w:val="23"/>
        </w:rPr>
        <w:t xml:space="preserve"> если налоговая льгота действует менее 5 лет, то оценка её востребованности </w:t>
      </w:r>
      <w:r w:rsidRPr="00F3765C">
        <w:rPr>
          <w:color w:val="auto"/>
          <w:sz w:val="23"/>
          <w:szCs w:val="23"/>
        </w:rPr>
        <w:t>прово</w:t>
      </w:r>
      <w:r>
        <w:rPr>
          <w:color w:val="auto"/>
          <w:sz w:val="23"/>
          <w:szCs w:val="23"/>
        </w:rPr>
        <w:t xml:space="preserve">дится за фактический и прогнозный периоды действия льготы.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2"/>
          <w:szCs w:val="22"/>
        </w:rPr>
        <w:lastRenderedPageBreak/>
        <w:t xml:space="preserve">16. </w:t>
      </w:r>
      <w:r>
        <w:rPr>
          <w:color w:val="auto"/>
          <w:sz w:val="23"/>
          <w:szCs w:val="23"/>
        </w:rPr>
        <w:t xml:space="preserve">В случае несоответствия налоговых расходов хотя бы одному из критериев целесообразности, куратору налогового расхода Молодёжного муниципального образования   надлежит представить в администрацию Молодёжного муниципального образования  предложения о сохранении (уточнении, отмене) льгот для плательщиков.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17. В качестве критерия результативности налогового расхода определяется один из показателей: </w:t>
      </w:r>
    </w:p>
    <w:p w:rsidR="00D01F1E" w:rsidRDefault="00D01F1E" w:rsidP="00D01F1E">
      <w:pPr>
        <w:pStyle w:val="Default"/>
        <w:spacing w:before="12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1) оценка вклада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социально-экономической политики Молодёжного муниципального образования, не относящихся к муниципальным программам;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2) оценка бюджетной эффективности налоговых расходов. </w:t>
      </w:r>
    </w:p>
    <w:p w:rsidR="00D01F1E" w:rsidRPr="00F3765C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 w:rsidRPr="00F3765C">
        <w:rPr>
          <w:iCs/>
          <w:color w:val="auto"/>
          <w:sz w:val="23"/>
          <w:szCs w:val="23"/>
        </w:rPr>
        <w:t xml:space="preserve">17.1. Оценка вклада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социально-экономической политики </w:t>
      </w:r>
      <w:r>
        <w:rPr>
          <w:color w:val="auto"/>
          <w:sz w:val="23"/>
          <w:szCs w:val="23"/>
        </w:rPr>
        <w:t>Молодёжного муниципального образования</w:t>
      </w:r>
      <w:r w:rsidRPr="00F3765C">
        <w:rPr>
          <w:iCs/>
          <w:color w:val="auto"/>
          <w:sz w:val="23"/>
          <w:szCs w:val="23"/>
        </w:rPr>
        <w:t xml:space="preserve">, не относящихся к муниципальным программам.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качестве критерия результативности налогового расхода муниципального образования определяется не менее одного показателя (индикатора) достижения целей муниципальной программы и (или) целей социально-экономической политики Молодёжного муниципального образования, не относящихся к муниципальным программам, либо иной показатель (индикатор), на значение которого оказывают влияние налоговые расходы.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социально-экономической политики Молодёжного муниципального образования, не относящихся к муниципальным программам,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 xml:space="preserve">Под показателем (индикатором) достижения целей муниципальных программ и (или) целей социально-экономической политики Молодёжного муниципального образования, не относящихся к муниципальным программам, (далее – целевой показатель) понимается показатель, количественно характеризующий достижение цели (целей) муниципальной программы, ее структурных элементов и (или) социально-экономической политики городского округа, не относящихся к муниципальным программам, которой (которым) соответствует налоговый расход и определенной (определенным) на этапе оценки целесообразности налогового расхода. </w:t>
      </w:r>
      <w:proofErr w:type="gramEnd"/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Целевой показатель должен отражать специфику налогового расхода.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случае если налоговый расход не оказывает существенного влияния на изменение показателей, содержащихся в муниципальных программах и (или) в стратегии социально-экономического развития Молодёжного муниципального образования, допускается использование показателя, предусмотренного муниципальной статистикой. </w:t>
      </w:r>
    </w:p>
    <w:p w:rsidR="00D01F1E" w:rsidRPr="00F3765C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 w:rsidRPr="00F3765C">
        <w:rPr>
          <w:iCs/>
          <w:color w:val="auto"/>
          <w:sz w:val="23"/>
          <w:szCs w:val="23"/>
        </w:rPr>
        <w:t xml:space="preserve">17.2. Оценка бюджетной эффективности налоговых расходов.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Оценка результативности налоговых расходов включает оценку бюджетной эффективности налоговых расходов.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целях оценки бюджетной эффективности налоговых расходов осуществляются: </w:t>
      </w:r>
    </w:p>
    <w:p w:rsidR="00D01F1E" w:rsidRDefault="00D01F1E" w:rsidP="00D01F1E">
      <w:pPr>
        <w:pStyle w:val="Default"/>
        <w:spacing w:after="100"/>
        <w:ind w:left="426" w:hanging="4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Сравнительный анализ результативности предоставления льгот и результативности </w:t>
      </w:r>
      <w:proofErr w:type="gramStart"/>
      <w:r>
        <w:rPr>
          <w:color w:val="auto"/>
          <w:sz w:val="23"/>
          <w:szCs w:val="23"/>
        </w:rPr>
        <w:t>применения альтернативных механизмов достижения целей муниципальной программы</w:t>
      </w:r>
      <w:proofErr w:type="gramEnd"/>
      <w:r>
        <w:rPr>
          <w:color w:val="auto"/>
          <w:sz w:val="23"/>
          <w:szCs w:val="23"/>
        </w:rPr>
        <w:t xml:space="preserve"> и (или) целей социально-экономической политики Молодёжного муниципального образования, не относящихся к муниципальным программам.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 xml:space="preserve">Сравнительный анализ включает сопоставление объемов расходов местного бюджета в случае применения альтернативных механизмов достижения целей муниципальной программы и (или) целей социально-экономической политики Молодёжного муниципального </w:t>
      </w:r>
      <w:r>
        <w:rPr>
          <w:color w:val="auto"/>
          <w:sz w:val="23"/>
          <w:szCs w:val="23"/>
        </w:rPr>
        <w:lastRenderedPageBreak/>
        <w:t>образования   не относящихся к муниципальным программам, и объемов предоставленных льгот (расчет прироста показателя (индикатора) достижения целей муниципальной программы и (или) целей социально-экономической политики Молодёжного муниципального образования, не относящихся к муниципальным программам, на 1 рубль налоговых расходов</w:t>
      </w:r>
      <w:proofErr w:type="gramEnd"/>
      <w:r>
        <w:rPr>
          <w:color w:val="auto"/>
          <w:sz w:val="23"/>
          <w:szCs w:val="23"/>
        </w:rPr>
        <w:t xml:space="preserve"> и на 1 рубль расходов местного бюджета для достижения того же показателя (индикатора) в случае применения альтернативных механизмов). </w:t>
      </w:r>
      <w:r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Сравнительный анализ результативности предоставления льгот и результативности применения альтернативных механизмов (возможности их объективного сравнения) оценку бюджетной эффективности рекомендуется проводить с применением одного из следующих подходов: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сопоставление объемов налогового расхода и расходов местного бюджета для достижения идентичного значения показателя (индикатора);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сопоставление значений показателя (индикатора) при условии идентичных объемов налогового расхода и расходов местного бюджета.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При сравнительном анализе следует также учитывать объем расходов организационного-административного характера (организация работы по предоставлению субсидий, администрирование, организация проведения конкурса или аукциона и иные). При этом объем указанных расходов должен быть обоснован и не зависим от объема налогов (налоговых расходов).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 качестве альтернативных механизмов достижения целей муниципальной программы и (или) социально – экономической политики Молодёжного муниципального образования</w:t>
      </w:r>
      <w:proofErr w:type="gramStart"/>
      <w:r>
        <w:rPr>
          <w:color w:val="auto"/>
          <w:sz w:val="23"/>
          <w:szCs w:val="23"/>
        </w:rPr>
        <w:t xml:space="preserve">  ,</w:t>
      </w:r>
      <w:proofErr w:type="gramEnd"/>
      <w:r>
        <w:rPr>
          <w:color w:val="auto"/>
          <w:sz w:val="23"/>
          <w:szCs w:val="23"/>
        </w:rPr>
        <w:t xml:space="preserve"> не относящихся к муниципальным программам, могут учитываться субсидии, муниципальные гарантии иные формы непосредственной финансовой поддержки плательщиков за счет средств местного бюджета.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 xml:space="preserve">В случае если альтернативный механизм достижения целей муниципальной программы и (или) целей социально-экономической политики Молодёжного муниципального образования   не предусмотрен действующими на момент проведения оценки эффективности налогового расхода муниципальными правовыми актами, то в данном случае альтернативный механизм может рассматриваться как потенциальный инструмент регулирования, возможный к установлению на территории муниципального образования вместо льготы. </w:t>
      </w:r>
      <w:proofErr w:type="gramEnd"/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При определении альтернативных механизмов для налоговых расходов социальной целевой категории, в том числе при определении объема средств местного бюджета на их применение, целесообразно учитывать принцип адресности и (или) критерий нуждаемости. </w:t>
      </w:r>
    </w:p>
    <w:p w:rsidR="00D01F1E" w:rsidRDefault="00D01F1E" w:rsidP="00D01F1E">
      <w:pPr>
        <w:pStyle w:val="Default"/>
        <w:spacing w:after="100"/>
        <w:ind w:left="426" w:hanging="4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• Определение коэффициента бюджетной эффективности налоговых расходов, исключение встречных финансовых потоков в бюджете Молодёжного муниципального образования   </w:t>
      </w:r>
    </w:p>
    <w:p w:rsidR="00D01F1E" w:rsidRDefault="00D01F1E" w:rsidP="00D01F1E">
      <w:pPr>
        <w:pStyle w:val="Default"/>
        <w:rPr>
          <w:color w:val="auto"/>
          <w:sz w:val="23"/>
          <w:szCs w:val="23"/>
        </w:rPr>
      </w:pP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Бюджетная эффективность налоговых расходов обеспечивается и признается положительной при выполнении одного из указанных показателей. </w:t>
      </w:r>
    </w:p>
    <w:p w:rsidR="00D01F1E" w:rsidRDefault="00D01F1E" w:rsidP="00D01F1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Коэффициент бюджетной эффективности налоговых расходов определяется как превышение темпов роста суммы, подлежащей уплате, или суммы поступившего в бюджет Молодёжного муниципального образования   налога над темпами роста объема налоговых расходов. </w:t>
      </w:r>
    </w:p>
    <w:p w:rsidR="00D01F1E" w:rsidRDefault="00D01F1E" w:rsidP="00D01F1E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Если коэффициент бюджетной эффективности налоговых расходов меньше единицы, то бюджетная эффективность налоговых расходов является низкой, и эффект от их предоставления не достигнут.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целях расчета коэффициента бюджетной эффективности налоговых расходов в виде понижения ставки налога (применения понижающего коэффициента) сумма налоговых расходов рассчитывается по следующим формулам: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по налогу на имущество физических лиц, земельному налогу в виде понижения ставки: </w:t>
      </w:r>
    </w:p>
    <w:p w:rsidR="00D01F1E" w:rsidRDefault="00D01F1E" w:rsidP="00D01F1E">
      <w:pPr>
        <w:pStyle w:val="Default"/>
        <w:spacing w:after="100"/>
        <w:jc w:val="center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lastRenderedPageBreak/>
        <w:t>Л</w:t>
      </w:r>
      <w:proofErr w:type="gramStart"/>
      <w:r>
        <w:rPr>
          <w:color w:val="auto"/>
          <w:sz w:val="23"/>
          <w:szCs w:val="23"/>
        </w:rPr>
        <w:t>i</w:t>
      </w:r>
      <w:proofErr w:type="spellEnd"/>
      <w:proofErr w:type="gramEnd"/>
      <w:r>
        <w:rPr>
          <w:color w:val="auto"/>
          <w:sz w:val="23"/>
          <w:szCs w:val="23"/>
        </w:rPr>
        <w:t xml:space="preserve"> = (НП/</w:t>
      </w:r>
      <w:proofErr w:type="spellStart"/>
      <w:r>
        <w:rPr>
          <w:color w:val="auto"/>
          <w:sz w:val="23"/>
          <w:szCs w:val="23"/>
        </w:rPr>
        <w:t>СНм</w:t>
      </w:r>
      <w:proofErr w:type="spellEnd"/>
      <w:r>
        <w:rPr>
          <w:color w:val="auto"/>
          <w:sz w:val="23"/>
          <w:szCs w:val="23"/>
        </w:rPr>
        <w:t>*</w:t>
      </w:r>
      <w:proofErr w:type="spellStart"/>
      <w:r>
        <w:rPr>
          <w:color w:val="auto"/>
          <w:sz w:val="23"/>
          <w:szCs w:val="23"/>
        </w:rPr>
        <w:t>СНз</w:t>
      </w:r>
      <w:proofErr w:type="spellEnd"/>
      <w:r>
        <w:rPr>
          <w:color w:val="auto"/>
          <w:sz w:val="23"/>
          <w:szCs w:val="23"/>
        </w:rPr>
        <w:t xml:space="preserve">) – НП, где </w:t>
      </w:r>
    </w:p>
    <w:p w:rsidR="00D01F1E" w:rsidRDefault="00D01F1E" w:rsidP="00D01F1E">
      <w:pPr>
        <w:pStyle w:val="Default"/>
        <w:spacing w:after="100"/>
        <w:jc w:val="both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Л</w:t>
      </w:r>
      <w:proofErr w:type="gramStart"/>
      <w:r>
        <w:rPr>
          <w:color w:val="auto"/>
          <w:sz w:val="23"/>
          <w:szCs w:val="23"/>
        </w:rPr>
        <w:t>i</w:t>
      </w:r>
      <w:proofErr w:type="spellEnd"/>
      <w:proofErr w:type="gramEnd"/>
      <w:r>
        <w:rPr>
          <w:color w:val="auto"/>
          <w:sz w:val="23"/>
          <w:szCs w:val="23"/>
        </w:rPr>
        <w:t xml:space="preserve"> – сумма налоговых расходов за отчетный (планируемый) период в виде понижения ставки; </w:t>
      </w:r>
    </w:p>
    <w:p w:rsidR="00D01F1E" w:rsidRDefault="00D01F1E" w:rsidP="00D01F1E">
      <w:pPr>
        <w:pStyle w:val="Default"/>
        <w:spacing w:after="100"/>
        <w:ind w:left="708" w:hanging="709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НП – сумма налога предъявленного (исчисленного) к уплате за отчетный (планируемый) период; </w:t>
      </w:r>
    </w:p>
    <w:p w:rsidR="00D01F1E" w:rsidRDefault="00D01F1E" w:rsidP="00D01F1E">
      <w:pPr>
        <w:pStyle w:val="Default"/>
        <w:spacing w:after="100"/>
        <w:jc w:val="both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СНм</w:t>
      </w:r>
      <w:proofErr w:type="spellEnd"/>
      <w:r>
        <w:rPr>
          <w:color w:val="auto"/>
          <w:sz w:val="23"/>
          <w:szCs w:val="23"/>
        </w:rPr>
        <w:t xml:space="preserve"> – ставка налога, установленная муниципальными правовыми актами; </w:t>
      </w:r>
    </w:p>
    <w:p w:rsidR="00D01F1E" w:rsidRDefault="00D01F1E" w:rsidP="00D01F1E">
      <w:pPr>
        <w:pStyle w:val="Default"/>
        <w:spacing w:after="100"/>
        <w:jc w:val="both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СНз</w:t>
      </w:r>
      <w:proofErr w:type="spellEnd"/>
      <w:r>
        <w:rPr>
          <w:color w:val="auto"/>
          <w:sz w:val="23"/>
          <w:szCs w:val="23"/>
        </w:rPr>
        <w:t xml:space="preserve"> – ставка налога по Налоговому кодексу Российской Федерации; </w:t>
      </w:r>
    </w:p>
    <w:p w:rsidR="00D01F1E" w:rsidRDefault="00D01F1E" w:rsidP="00D01F1E">
      <w:pPr>
        <w:pStyle w:val="Default"/>
        <w:spacing w:after="100"/>
        <w:ind w:firstLine="708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по единому налогу на вмененный доход для отдельных видов деятельности: </w:t>
      </w:r>
      <w:r>
        <w:rPr>
          <w:rFonts w:ascii="Times New Roman" w:hAnsi="Times New Roman" w:cs="Times New Roman"/>
          <w:color w:val="auto"/>
          <w:sz w:val="23"/>
          <w:szCs w:val="23"/>
        </w:rPr>
        <w:t xml:space="preserve">9 </w:t>
      </w:r>
    </w:p>
    <w:p w:rsidR="00D01F1E" w:rsidRDefault="00D01F1E" w:rsidP="00D01F1E">
      <w:pPr>
        <w:pStyle w:val="Default"/>
        <w:spacing w:after="100"/>
        <w:jc w:val="center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Лiк</w:t>
      </w:r>
      <w:proofErr w:type="spellEnd"/>
      <w:r>
        <w:rPr>
          <w:color w:val="auto"/>
          <w:sz w:val="23"/>
          <w:szCs w:val="23"/>
        </w:rPr>
        <w:t xml:space="preserve"> = (</w:t>
      </w:r>
      <w:proofErr w:type="spellStart"/>
      <w:r>
        <w:rPr>
          <w:color w:val="auto"/>
          <w:sz w:val="23"/>
          <w:szCs w:val="23"/>
        </w:rPr>
        <w:t>Нп</w:t>
      </w:r>
      <w:proofErr w:type="spellEnd"/>
      <w:r>
        <w:rPr>
          <w:color w:val="auto"/>
          <w:sz w:val="23"/>
          <w:szCs w:val="23"/>
        </w:rPr>
        <w:t>/К</w:t>
      </w:r>
      <w:proofErr w:type="gramStart"/>
      <w:r>
        <w:rPr>
          <w:color w:val="auto"/>
          <w:sz w:val="23"/>
          <w:szCs w:val="23"/>
        </w:rPr>
        <w:t>2</w:t>
      </w:r>
      <w:proofErr w:type="gramEnd"/>
      <w:r>
        <w:rPr>
          <w:color w:val="auto"/>
          <w:sz w:val="23"/>
          <w:szCs w:val="23"/>
        </w:rPr>
        <w:t xml:space="preserve">) – </w:t>
      </w:r>
      <w:proofErr w:type="spellStart"/>
      <w:r>
        <w:rPr>
          <w:color w:val="auto"/>
          <w:sz w:val="23"/>
          <w:szCs w:val="23"/>
        </w:rPr>
        <w:t>Нп</w:t>
      </w:r>
      <w:proofErr w:type="spellEnd"/>
      <w:r>
        <w:rPr>
          <w:color w:val="auto"/>
          <w:sz w:val="23"/>
          <w:szCs w:val="23"/>
        </w:rPr>
        <w:t xml:space="preserve">, где </w:t>
      </w:r>
    </w:p>
    <w:p w:rsidR="00D01F1E" w:rsidRDefault="00D01F1E" w:rsidP="00D01F1E">
      <w:pPr>
        <w:pStyle w:val="Default"/>
        <w:spacing w:after="100"/>
        <w:ind w:left="708" w:hanging="709"/>
        <w:jc w:val="both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Л</w:t>
      </w:r>
      <w:proofErr w:type="gramStart"/>
      <w:r>
        <w:rPr>
          <w:color w:val="auto"/>
          <w:sz w:val="23"/>
          <w:szCs w:val="23"/>
        </w:rPr>
        <w:t>i</w:t>
      </w:r>
      <w:proofErr w:type="gramEnd"/>
      <w:r>
        <w:rPr>
          <w:color w:val="auto"/>
          <w:sz w:val="23"/>
          <w:szCs w:val="23"/>
        </w:rPr>
        <w:t>к</w:t>
      </w:r>
      <w:proofErr w:type="spellEnd"/>
      <w:r>
        <w:rPr>
          <w:color w:val="auto"/>
          <w:sz w:val="23"/>
          <w:szCs w:val="23"/>
        </w:rPr>
        <w:t xml:space="preserve"> - сумма налоговых расходов за отчетный (планируемый) период в виде применения понижающего коэффициента; </w:t>
      </w:r>
    </w:p>
    <w:p w:rsidR="00D01F1E" w:rsidRDefault="00D01F1E" w:rsidP="00D01F1E">
      <w:pPr>
        <w:pStyle w:val="Default"/>
        <w:spacing w:after="100"/>
        <w:jc w:val="both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Нп</w:t>
      </w:r>
      <w:proofErr w:type="spellEnd"/>
      <w:r>
        <w:rPr>
          <w:color w:val="auto"/>
          <w:sz w:val="23"/>
          <w:szCs w:val="23"/>
        </w:rPr>
        <w:t xml:space="preserve"> – сумма поступившего налога в бюджет за отчетный (планируемый) период; </w:t>
      </w:r>
    </w:p>
    <w:p w:rsidR="00D01F1E" w:rsidRDefault="00D01F1E" w:rsidP="00D01F1E">
      <w:pPr>
        <w:pStyle w:val="Default"/>
        <w:spacing w:after="100"/>
        <w:ind w:left="708" w:hanging="709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К</w:t>
      </w:r>
      <w:proofErr w:type="gramStart"/>
      <w:r>
        <w:rPr>
          <w:color w:val="auto"/>
          <w:sz w:val="23"/>
          <w:szCs w:val="23"/>
        </w:rPr>
        <w:t>2</w:t>
      </w:r>
      <w:proofErr w:type="gramEnd"/>
      <w:r>
        <w:rPr>
          <w:color w:val="auto"/>
          <w:sz w:val="23"/>
          <w:szCs w:val="23"/>
        </w:rPr>
        <w:t xml:space="preserve"> – установленный муниципальными правовыми актами понижающий коэффициент для исследуемого вида деятельности. </w:t>
      </w:r>
    </w:p>
    <w:p w:rsidR="00D01F1E" w:rsidRDefault="00D01F1E" w:rsidP="00D01F1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IV. Итоги оценки налоговых расходов </w:t>
      </w:r>
    </w:p>
    <w:p w:rsidR="00D01F1E" w:rsidRDefault="00D01F1E" w:rsidP="00D01F1E">
      <w:pPr>
        <w:pStyle w:val="Default"/>
        <w:spacing w:after="100"/>
        <w:ind w:firstLine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18. </w:t>
      </w:r>
      <w:proofErr w:type="gramStart"/>
      <w:r>
        <w:rPr>
          <w:color w:val="auto"/>
          <w:sz w:val="23"/>
          <w:szCs w:val="23"/>
        </w:rPr>
        <w:t>По итогам оценки эффективности налогового расхода куратор налогового расхода формулирует выводы в виде аналитической записки об эффективности налоговых расходов и обоснованности применения льгот, обуславливающих данные налоговые расходы, а также рекомендаций о необходимости сохранения (уточнения, отмены) предоставленных (планируемых к предоставлению) плательщикам льгот, о достижении целевых характеристик налогового расхода, вкладе налогового расхода в достижение целей муниципальной программы и (или) целей социально-экономической политики</w:t>
      </w:r>
      <w:proofErr w:type="gramEnd"/>
      <w:r>
        <w:rPr>
          <w:color w:val="auto"/>
          <w:sz w:val="23"/>
          <w:szCs w:val="23"/>
        </w:rPr>
        <w:t xml:space="preserve"> Молодёжного муниципального образования</w:t>
      </w:r>
      <w:proofErr w:type="gramStart"/>
      <w:r>
        <w:rPr>
          <w:color w:val="auto"/>
          <w:sz w:val="23"/>
          <w:szCs w:val="23"/>
        </w:rPr>
        <w:t xml:space="preserve">  ,</w:t>
      </w:r>
      <w:proofErr w:type="gramEnd"/>
      <w:r>
        <w:rPr>
          <w:color w:val="auto"/>
          <w:sz w:val="23"/>
          <w:szCs w:val="23"/>
        </w:rPr>
        <w:t xml:space="preserve"> не относящихся к муниципальным программам, а также о наличии или об отсутствии более результативных (менее затратных для местного бюджета) альтернативных механизмов достижения целей муниципальной программы и (или) целей социально-экономической политики городского округа, не относящихся к муниципальным программам. </w:t>
      </w:r>
    </w:p>
    <w:p w:rsidR="00D01F1E" w:rsidRDefault="00D01F1E" w:rsidP="00D01F1E">
      <w:pPr>
        <w:pStyle w:val="Default"/>
        <w:spacing w:after="100"/>
        <w:ind w:firstLine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19. Аналитическую записку с материалами оценки налоговых расходов куратор налогового расхода направляет в администрацию Молодёжного муниципального образования  в срок до 05 октября текущего года. </w:t>
      </w:r>
    </w:p>
    <w:p w:rsidR="00D01F1E" w:rsidRDefault="00D01F1E" w:rsidP="00D01F1E">
      <w:pPr>
        <w:pStyle w:val="Default"/>
        <w:spacing w:after="100"/>
        <w:ind w:firstLine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20. Администрация Молодёжного муниципального образования  обобщает полученные от кураторов налоговых расходов сведения об оценке налоговых расходов и в срок до 15 октября текущего года направляет информацию в администрацию Совет Молодёжного муниципального образования.  </w:t>
      </w:r>
    </w:p>
    <w:p w:rsidR="00D01F1E" w:rsidRDefault="00D01F1E" w:rsidP="00D01F1E">
      <w:r>
        <w:rPr>
          <w:sz w:val="23"/>
          <w:szCs w:val="23"/>
        </w:rPr>
        <w:t xml:space="preserve">               Результаты рассмотрения оценки налоговых расходов используются в целях принятия решения по отмене или корректировки неэффективных налоговых льгот, учитываются при формировании основных направлений бюджетной и налоговой политики Молодёжного муниципального образования, а также при проведении оценки эффективности реализации муниципальных программ.</w:t>
      </w:r>
    </w:p>
    <w:p w:rsidR="00D01F1E" w:rsidRDefault="00D01F1E" w:rsidP="00D01F1E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D01F1E" w:rsidRDefault="00D01F1E" w:rsidP="00D01F1E">
      <w:pPr>
        <w:jc w:val="right"/>
        <w:rPr>
          <w:b/>
          <w:bCs/>
          <w:sz w:val="28"/>
          <w:szCs w:val="28"/>
        </w:rPr>
      </w:pPr>
    </w:p>
    <w:p w:rsidR="001B6D1B" w:rsidRDefault="001B6D1B"/>
    <w:sectPr w:rsidR="001B6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C42"/>
    <w:rsid w:val="001B6D1B"/>
    <w:rsid w:val="00661C42"/>
    <w:rsid w:val="006C6219"/>
    <w:rsid w:val="00D0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F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01F1E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D01F1E"/>
  </w:style>
  <w:style w:type="paragraph" w:customStyle="1" w:styleId="Default">
    <w:name w:val="Default"/>
    <w:rsid w:val="00D01F1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F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01F1E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D01F1E"/>
  </w:style>
  <w:style w:type="paragraph" w:customStyle="1" w:styleId="Default">
    <w:name w:val="Default"/>
    <w:rsid w:val="00D01F1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4195</Words>
  <Characters>23918</Characters>
  <Application>Microsoft Office Word</Application>
  <DocSecurity>0</DocSecurity>
  <Lines>199</Lines>
  <Paragraphs>56</Paragraphs>
  <ScaleCrop>false</ScaleCrop>
  <Company/>
  <LinksUpToDate>false</LinksUpToDate>
  <CharactersWithSpaces>28057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2022-09-14T05:17:00Z</dcterms:created>
  <dcterms:modified xsi:type="dcterms:W3CDTF">2022-09-19T11:53:00Z</dcterms:modified>
</cp:coreProperties>
</file>